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9D69C" w14:textId="523E4B96" w:rsidR="00CB5E5A" w:rsidRPr="00CE5D09" w:rsidRDefault="00CB5E5A" w:rsidP="00CE5D09">
      <w:pPr>
        <w:adjustRightInd w:val="0"/>
        <w:snapToGrid w:val="0"/>
        <w:spacing w:after="0" w:line="240" w:lineRule="auto"/>
        <w:rPr>
          <w:rFonts w:ascii="Times New Roman" w:hAnsi="Times New Roman" w:cs="Times New Roman"/>
          <w:sz w:val="20"/>
          <w:szCs w:val="20"/>
        </w:rPr>
      </w:pPr>
      <w:bookmarkStart w:id="0" w:name="_Hlk200051899"/>
      <w:r w:rsidRPr="00CE5D09">
        <w:rPr>
          <w:rFonts w:ascii="Times New Roman" w:hAnsi="Times New Roman" w:cs="Times New Roman"/>
          <w:b/>
          <w:bCs/>
          <w:sz w:val="20"/>
          <w:szCs w:val="20"/>
        </w:rPr>
        <w:t>Suppl</w:t>
      </w:r>
      <w:r w:rsidR="00E258B4" w:rsidRPr="00CE5D09">
        <w:rPr>
          <w:rFonts w:ascii="Times New Roman" w:hAnsi="Times New Roman" w:cs="Times New Roman" w:hint="eastAsia"/>
          <w:b/>
          <w:bCs/>
          <w:sz w:val="20"/>
          <w:szCs w:val="20"/>
          <w:lang w:eastAsia="zh-CN"/>
        </w:rPr>
        <w:t xml:space="preserve"> </w:t>
      </w:r>
      <w:r w:rsidRPr="00CE5D09">
        <w:rPr>
          <w:rFonts w:ascii="Times New Roman" w:hAnsi="Times New Roman" w:cs="Times New Roman"/>
          <w:b/>
          <w:bCs/>
          <w:sz w:val="20"/>
          <w:szCs w:val="20"/>
        </w:rPr>
        <w:t>1.</w:t>
      </w:r>
      <w:r w:rsidRPr="00CE5D09">
        <w:rPr>
          <w:rFonts w:ascii="Times New Roman" w:hAnsi="Times New Roman" w:cs="Times New Roman"/>
          <w:sz w:val="20"/>
          <w:szCs w:val="20"/>
        </w:rPr>
        <w:t xml:space="preserve"> Definitions of </w:t>
      </w:r>
      <w:r w:rsidR="00015753" w:rsidRPr="00CE5D09">
        <w:rPr>
          <w:rFonts w:ascii="Times New Roman" w:hAnsi="Times New Roman" w:cs="Times New Roman"/>
          <w:sz w:val="20"/>
          <w:szCs w:val="20"/>
        </w:rPr>
        <w:t>Biochemical Remission</w:t>
      </w:r>
      <w:r w:rsidRPr="00CE5D09">
        <w:rPr>
          <w:rFonts w:ascii="Times New Roman" w:hAnsi="Times New Roman" w:cs="Times New Roman"/>
          <w:sz w:val="20"/>
          <w:szCs w:val="20"/>
        </w:rPr>
        <w:t xml:space="preserve"> and </w:t>
      </w:r>
      <w:r w:rsidR="00015753" w:rsidRPr="00CE5D09">
        <w:rPr>
          <w:rFonts w:ascii="Times New Roman" w:hAnsi="Times New Roman" w:cs="Times New Roman"/>
          <w:sz w:val="20"/>
          <w:szCs w:val="20"/>
        </w:rPr>
        <w:t>Treatment Failure Across Studies</w:t>
      </w:r>
    </w:p>
    <w:tbl>
      <w:tblPr>
        <w:tblStyle w:val="af3"/>
        <w:tblW w:w="0" w:type="auto"/>
        <w:tblLook w:val="04A0" w:firstRow="1" w:lastRow="0" w:firstColumn="1" w:lastColumn="0" w:noHBand="0" w:noVBand="1"/>
      </w:tblPr>
      <w:tblGrid>
        <w:gridCol w:w="2263"/>
        <w:gridCol w:w="11685"/>
      </w:tblGrid>
      <w:tr w:rsidR="00E258B4" w:rsidRPr="00CE5D09" w14:paraId="10E2BEA7" w14:textId="77777777" w:rsidTr="00E258B4">
        <w:tc>
          <w:tcPr>
            <w:tcW w:w="2263" w:type="dxa"/>
          </w:tcPr>
          <w:bookmarkEnd w:id="0"/>
          <w:p w14:paraId="410951AC" w14:textId="76441253" w:rsidR="00E258B4" w:rsidRPr="00CE5D09" w:rsidRDefault="00E258B4" w:rsidP="00CE5D09">
            <w:pPr>
              <w:adjustRightInd w:val="0"/>
              <w:snapToGrid w:val="0"/>
              <w:spacing w:after="0" w:line="240" w:lineRule="auto"/>
              <w:rPr>
                <w:rFonts w:ascii="Times New Roman" w:hAnsi="Times New Roman" w:cs="Times New Roman"/>
                <w:sz w:val="20"/>
                <w:szCs w:val="20"/>
                <w:lang w:eastAsia="zh-CN"/>
              </w:rPr>
            </w:pPr>
            <w:r w:rsidRPr="00CE5D09">
              <w:rPr>
                <w:rFonts w:ascii="Times New Roman" w:hAnsi="Times New Roman" w:cs="Times New Roman"/>
                <w:b/>
                <w:bCs/>
                <w:sz w:val="20"/>
                <w:szCs w:val="20"/>
              </w:rPr>
              <w:t>Study</w:t>
            </w:r>
          </w:p>
        </w:tc>
        <w:tc>
          <w:tcPr>
            <w:tcW w:w="11685" w:type="dxa"/>
          </w:tcPr>
          <w:p w14:paraId="1D8EF892" w14:textId="59DB3E8A" w:rsidR="00E258B4" w:rsidRPr="00CE5D09" w:rsidRDefault="00E258B4" w:rsidP="00CE5D09">
            <w:pPr>
              <w:adjustRightInd w:val="0"/>
              <w:snapToGrid w:val="0"/>
              <w:spacing w:after="0" w:line="240" w:lineRule="auto"/>
              <w:rPr>
                <w:rFonts w:ascii="Times New Roman" w:hAnsi="Times New Roman" w:cs="Times New Roman"/>
                <w:sz w:val="20"/>
                <w:szCs w:val="20"/>
                <w:lang w:eastAsia="zh-CN"/>
              </w:rPr>
            </w:pPr>
            <w:r w:rsidRPr="00CE5D09">
              <w:rPr>
                <w:rFonts w:ascii="Times New Roman" w:hAnsi="Times New Roman" w:cs="Times New Roman"/>
                <w:b/>
                <w:bCs/>
                <w:sz w:val="20"/>
                <w:szCs w:val="20"/>
              </w:rPr>
              <w:t xml:space="preserve">Definition of </w:t>
            </w:r>
            <w:r w:rsidR="001104EE" w:rsidRPr="00CE5D09">
              <w:rPr>
                <w:rFonts w:ascii="Times New Roman" w:hAnsi="Times New Roman" w:cs="Times New Roman" w:hint="eastAsia"/>
                <w:b/>
                <w:bCs/>
                <w:sz w:val="20"/>
                <w:szCs w:val="20"/>
                <w:lang w:eastAsia="zh-CN"/>
              </w:rPr>
              <w:t>b</w:t>
            </w:r>
            <w:r w:rsidRPr="00CE5D09">
              <w:rPr>
                <w:rFonts w:ascii="Times New Roman" w:hAnsi="Times New Roman" w:cs="Times New Roman"/>
                <w:b/>
                <w:bCs/>
                <w:sz w:val="20"/>
                <w:szCs w:val="20"/>
              </w:rPr>
              <w:t>iochemical remission and treatment failure</w:t>
            </w:r>
          </w:p>
        </w:tc>
      </w:tr>
      <w:tr w:rsidR="00E258B4" w:rsidRPr="00CE5D09" w14:paraId="40518B40" w14:textId="77777777" w:rsidTr="00E258B4">
        <w:tc>
          <w:tcPr>
            <w:tcW w:w="2263" w:type="dxa"/>
          </w:tcPr>
          <w:p w14:paraId="65B8B653" w14:textId="211E7B56" w:rsidR="00E258B4" w:rsidRPr="00CE5D09" w:rsidRDefault="00E258B4" w:rsidP="00CE5D09">
            <w:pPr>
              <w:adjustRightInd w:val="0"/>
              <w:snapToGrid w:val="0"/>
              <w:spacing w:after="0" w:line="240" w:lineRule="auto"/>
              <w:rPr>
                <w:rFonts w:ascii="Times New Roman" w:hAnsi="Times New Roman" w:cs="Times New Roman"/>
                <w:sz w:val="20"/>
                <w:szCs w:val="20"/>
                <w:lang w:eastAsia="zh-CN"/>
              </w:rPr>
            </w:pPr>
            <w:proofErr w:type="spellStart"/>
            <w:r w:rsidRPr="00CE5D09">
              <w:rPr>
                <w:rFonts w:ascii="Times New Roman" w:hAnsi="Times New Roman" w:cs="Times New Roman"/>
                <w:sz w:val="20"/>
                <w:szCs w:val="20"/>
              </w:rPr>
              <w:t>Hlivko</w:t>
            </w:r>
            <w:proofErr w:type="spellEnd"/>
            <w:r w:rsidRPr="00CE5D09">
              <w:rPr>
                <w:rFonts w:ascii="Times New Roman" w:hAnsi="Times New Roman" w:cs="Times New Roman"/>
                <w:sz w:val="20"/>
                <w:szCs w:val="20"/>
              </w:rPr>
              <w:t xml:space="preserve"> et al [13]</w:t>
            </w:r>
          </w:p>
        </w:tc>
        <w:tc>
          <w:tcPr>
            <w:tcW w:w="11685" w:type="dxa"/>
          </w:tcPr>
          <w:p w14:paraId="7A378E0D" w14:textId="296E6710" w:rsidR="00E258B4" w:rsidRPr="00CE5D09" w:rsidRDefault="00E258B4" w:rsidP="00CE5D09">
            <w:pPr>
              <w:adjustRightInd w:val="0"/>
              <w:snapToGrid w:val="0"/>
              <w:spacing w:after="0" w:line="240" w:lineRule="auto"/>
              <w:rPr>
                <w:rFonts w:ascii="Times New Roman" w:hAnsi="Times New Roman" w:cs="Times New Roman"/>
                <w:sz w:val="20"/>
                <w:szCs w:val="20"/>
                <w:lang w:eastAsia="zh-CN"/>
              </w:rPr>
            </w:pPr>
            <w:r w:rsidRPr="00CE5D09">
              <w:rPr>
                <w:rFonts w:ascii="Times New Roman" w:hAnsi="Times New Roman" w:cs="Times New Roman"/>
                <w:sz w:val="20"/>
                <w:szCs w:val="20"/>
              </w:rPr>
              <w:t>Remission was defined as resolution of symptoms, reduction in serum aminotransferase levels to less than twice the normal upper limit, normalization of serum bilirubin and IgG levels, and improvement in liver histology to normal or only mild portal hepatitis. Relapses or treatment failure were defined as worsening symptoms and/or an increase in serum aminotransferase levels to more than three times the normal upper limit or an increase in serum IgG of more than 2 g/dL, which strongly correlates with the presence of further histological damage.</w:t>
            </w:r>
          </w:p>
        </w:tc>
      </w:tr>
      <w:tr w:rsidR="00E258B4" w:rsidRPr="00CE5D09" w14:paraId="04DF9A4D" w14:textId="77777777" w:rsidTr="00E258B4">
        <w:tc>
          <w:tcPr>
            <w:tcW w:w="2263" w:type="dxa"/>
          </w:tcPr>
          <w:p w14:paraId="1357D9EA" w14:textId="0B749BF8" w:rsidR="00E258B4" w:rsidRPr="00CE5D09" w:rsidRDefault="00E258B4" w:rsidP="00CE5D09">
            <w:pPr>
              <w:adjustRightInd w:val="0"/>
              <w:snapToGrid w:val="0"/>
              <w:spacing w:after="0" w:line="240" w:lineRule="auto"/>
              <w:rPr>
                <w:rFonts w:ascii="Times New Roman" w:hAnsi="Times New Roman" w:cs="Times New Roman"/>
                <w:sz w:val="20"/>
                <w:szCs w:val="20"/>
                <w:lang w:eastAsia="zh-CN"/>
              </w:rPr>
            </w:pPr>
            <w:proofErr w:type="spellStart"/>
            <w:r w:rsidRPr="00CE5D09">
              <w:rPr>
                <w:rFonts w:ascii="Times New Roman" w:hAnsi="Times New Roman" w:cs="Times New Roman"/>
                <w:sz w:val="20"/>
                <w:szCs w:val="20"/>
              </w:rPr>
              <w:t>Giannkapoulos</w:t>
            </w:r>
            <w:proofErr w:type="spellEnd"/>
            <w:r w:rsidRPr="00CE5D09">
              <w:rPr>
                <w:rFonts w:ascii="Times New Roman" w:hAnsi="Times New Roman" w:cs="Times New Roman"/>
                <w:sz w:val="20"/>
                <w:szCs w:val="20"/>
              </w:rPr>
              <w:t xml:space="preserve"> et al [14]</w:t>
            </w:r>
          </w:p>
        </w:tc>
        <w:tc>
          <w:tcPr>
            <w:tcW w:w="11685" w:type="dxa"/>
          </w:tcPr>
          <w:p w14:paraId="2C4F9A4F" w14:textId="7CBBA9F9" w:rsidR="00E258B4" w:rsidRPr="00CE5D09" w:rsidRDefault="00E258B4" w:rsidP="00CE5D09">
            <w:pPr>
              <w:adjustRightInd w:val="0"/>
              <w:snapToGrid w:val="0"/>
              <w:spacing w:after="0" w:line="240" w:lineRule="auto"/>
              <w:rPr>
                <w:rFonts w:ascii="Times New Roman" w:hAnsi="Times New Roman" w:cs="Times New Roman"/>
                <w:sz w:val="20"/>
                <w:szCs w:val="20"/>
                <w:lang w:eastAsia="zh-CN"/>
              </w:rPr>
            </w:pPr>
            <w:r w:rsidRPr="00CE5D09">
              <w:rPr>
                <w:rFonts w:ascii="Times New Roman" w:hAnsi="Times New Roman" w:cs="Times New Roman"/>
                <w:sz w:val="20"/>
                <w:szCs w:val="20"/>
              </w:rPr>
              <w:t>Biochemical remission was defined as normalization of serum transaminase levels. Response was defined as achievement or maintenance of aminotransferase levels ≤ 2 µkat/</w:t>
            </w:r>
            <w:r w:rsidR="00BB4A59" w:rsidRPr="00CE5D09">
              <w:rPr>
                <w:rFonts w:ascii="Times New Roman" w:hAnsi="Times New Roman" w:cs="Times New Roman" w:hint="eastAsia"/>
                <w:sz w:val="20"/>
                <w:szCs w:val="20"/>
                <w:lang w:eastAsia="zh-CN"/>
              </w:rPr>
              <w:t>L</w:t>
            </w:r>
            <w:r w:rsidRPr="00CE5D09">
              <w:rPr>
                <w:rFonts w:ascii="Times New Roman" w:hAnsi="Times New Roman" w:cs="Times New Roman"/>
                <w:sz w:val="20"/>
                <w:szCs w:val="20"/>
              </w:rPr>
              <w:t>. Treatment failure was defined as worsening of symptoms, intolerable side effects, and/or an increase in serum aminotransferase levels above 2 µkat/</w:t>
            </w:r>
            <w:r w:rsidR="00BB4A59" w:rsidRPr="00CE5D09">
              <w:rPr>
                <w:rFonts w:ascii="Times New Roman" w:hAnsi="Times New Roman" w:cs="Times New Roman" w:hint="eastAsia"/>
                <w:sz w:val="20"/>
                <w:szCs w:val="20"/>
                <w:lang w:eastAsia="zh-CN"/>
              </w:rPr>
              <w:t>L</w:t>
            </w:r>
            <w:r w:rsidRPr="00CE5D09">
              <w:rPr>
                <w:rFonts w:ascii="Times New Roman" w:hAnsi="Times New Roman" w:cs="Times New Roman"/>
                <w:sz w:val="20"/>
                <w:szCs w:val="20"/>
              </w:rPr>
              <w:t>.</w:t>
            </w:r>
          </w:p>
        </w:tc>
      </w:tr>
      <w:tr w:rsidR="00E258B4" w:rsidRPr="00CE5D09" w14:paraId="2A7AC1FE" w14:textId="77777777" w:rsidTr="00E258B4">
        <w:tc>
          <w:tcPr>
            <w:tcW w:w="2263" w:type="dxa"/>
          </w:tcPr>
          <w:p w14:paraId="112F2809" w14:textId="34E11905" w:rsidR="00E258B4" w:rsidRPr="00CE5D09" w:rsidRDefault="00E258B4" w:rsidP="00CE5D09">
            <w:pPr>
              <w:adjustRightInd w:val="0"/>
              <w:snapToGrid w:val="0"/>
              <w:spacing w:after="0" w:line="240" w:lineRule="auto"/>
              <w:rPr>
                <w:rFonts w:ascii="Times New Roman" w:hAnsi="Times New Roman" w:cs="Times New Roman"/>
                <w:sz w:val="20"/>
                <w:szCs w:val="20"/>
                <w:lang w:eastAsia="zh-CN"/>
              </w:rPr>
            </w:pPr>
            <w:r w:rsidRPr="00CE5D09">
              <w:rPr>
                <w:rFonts w:ascii="Times New Roman" w:hAnsi="Times New Roman" w:cs="Times New Roman"/>
                <w:sz w:val="20"/>
                <w:szCs w:val="20"/>
              </w:rPr>
              <w:t>Baven</w:t>
            </w:r>
            <w:r w:rsidR="00BB4A59" w:rsidRPr="00CE5D09">
              <w:rPr>
                <w:rFonts w:ascii="Times New Roman" w:hAnsi="Times New Roman" w:cs="Times New Roman" w:hint="eastAsia"/>
                <w:sz w:val="20"/>
                <w:szCs w:val="20"/>
                <w:lang w:eastAsia="zh-CN"/>
              </w:rPr>
              <w:t>-</w:t>
            </w:r>
            <w:r w:rsidRPr="00CE5D09">
              <w:rPr>
                <w:rFonts w:ascii="Times New Roman" w:hAnsi="Times New Roman" w:cs="Times New Roman"/>
                <w:sz w:val="20"/>
                <w:szCs w:val="20"/>
              </w:rPr>
              <w:t>Pronk et al [15]</w:t>
            </w:r>
          </w:p>
        </w:tc>
        <w:tc>
          <w:tcPr>
            <w:tcW w:w="11685" w:type="dxa"/>
          </w:tcPr>
          <w:p w14:paraId="591F8D40" w14:textId="29FEA11F" w:rsidR="00E258B4" w:rsidRPr="00CE5D09" w:rsidRDefault="00E258B4" w:rsidP="00CE5D09">
            <w:pPr>
              <w:adjustRightInd w:val="0"/>
              <w:snapToGrid w:val="0"/>
              <w:spacing w:after="0" w:line="240" w:lineRule="auto"/>
              <w:rPr>
                <w:rFonts w:ascii="Times New Roman" w:hAnsi="Times New Roman" w:cs="Times New Roman"/>
                <w:sz w:val="20"/>
                <w:szCs w:val="20"/>
                <w:lang w:eastAsia="zh-CN"/>
              </w:rPr>
            </w:pPr>
            <w:r w:rsidRPr="00CE5D09">
              <w:rPr>
                <w:rFonts w:ascii="Times New Roman" w:hAnsi="Times New Roman" w:cs="Times New Roman"/>
                <w:sz w:val="20"/>
                <w:szCs w:val="20"/>
              </w:rPr>
              <w:t>Biochemical remission was defined as normalization of AST and/or ALT levels after the initiation of MMF. Relapses were defined as an increase in AST and/or ALT levels of more than threefold the upper limit after a response or remission.</w:t>
            </w:r>
          </w:p>
        </w:tc>
      </w:tr>
      <w:tr w:rsidR="00E258B4" w:rsidRPr="00CE5D09" w14:paraId="608176BB" w14:textId="77777777" w:rsidTr="00E258B4">
        <w:tc>
          <w:tcPr>
            <w:tcW w:w="2263" w:type="dxa"/>
          </w:tcPr>
          <w:p w14:paraId="4270FCC6" w14:textId="2877EDB7" w:rsidR="00E258B4" w:rsidRPr="00CE5D09" w:rsidRDefault="00E258B4" w:rsidP="00CE5D09">
            <w:pPr>
              <w:adjustRightInd w:val="0"/>
              <w:snapToGrid w:val="0"/>
              <w:spacing w:after="0" w:line="240" w:lineRule="auto"/>
              <w:rPr>
                <w:rFonts w:ascii="Times New Roman" w:hAnsi="Times New Roman" w:cs="Times New Roman"/>
                <w:sz w:val="20"/>
                <w:szCs w:val="20"/>
                <w:lang w:eastAsia="zh-CN"/>
              </w:rPr>
            </w:pPr>
            <w:proofErr w:type="spellStart"/>
            <w:r w:rsidRPr="00CE5D09">
              <w:rPr>
                <w:rFonts w:ascii="Times New Roman" w:hAnsi="Times New Roman" w:cs="Times New Roman"/>
                <w:sz w:val="20"/>
                <w:szCs w:val="20"/>
              </w:rPr>
              <w:t>Sharzehi</w:t>
            </w:r>
            <w:proofErr w:type="spellEnd"/>
            <w:r w:rsidRPr="00CE5D09">
              <w:rPr>
                <w:rFonts w:ascii="Times New Roman" w:hAnsi="Times New Roman" w:cs="Times New Roman"/>
                <w:sz w:val="20"/>
                <w:szCs w:val="20"/>
              </w:rPr>
              <w:t xml:space="preserve"> et al [16]</w:t>
            </w:r>
          </w:p>
        </w:tc>
        <w:tc>
          <w:tcPr>
            <w:tcW w:w="11685" w:type="dxa"/>
          </w:tcPr>
          <w:p w14:paraId="039E070F" w14:textId="1BE75BF3" w:rsidR="00E258B4" w:rsidRPr="00CE5D09" w:rsidRDefault="00E258B4" w:rsidP="00CE5D09">
            <w:pPr>
              <w:adjustRightInd w:val="0"/>
              <w:snapToGrid w:val="0"/>
              <w:spacing w:after="0" w:line="240" w:lineRule="auto"/>
              <w:rPr>
                <w:rFonts w:ascii="Times New Roman" w:hAnsi="Times New Roman" w:cs="Times New Roman"/>
                <w:sz w:val="20"/>
                <w:szCs w:val="20"/>
                <w:lang w:eastAsia="zh-CN"/>
              </w:rPr>
            </w:pPr>
            <w:r w:rsidRPr="00CE5D09">
              <w:rPr>
                <w:rFonts w:ascii="Times New Roman" w:hAnsi="Times New Roman" w:cs="Times New Roman"/>
                <w:sz w:val="20"/>
                <w:szCs w:val="20"/>
              </w:rPr>
              <w:t>Biochemical remission was defined as complete clinical and laboratory resolution of the disease, and partial responders were defined as those with transaminase levels between one and two times the upper limit of normal despite treatment for six months.</w:t>
            </w:r>
          </w:p>
        </w:tc>
      </w:tr>
      <w:tr w:rsidR="00E258B4" w:rsidRPr="00CE5D09" w14:paraId="0CCEC5C4" w14:textId="77777777" w:rsidTr="00E258B4">
        <w:tc>
          <w:tcPr>
            <w:tcW w:w="2263" w:type="dxa"/>
          </w:tcPr>
          <w:p w14:paraId="61B4CB2F" w14:textId="7C8D2416" w:rsidR="00E258B4" w:rsidRPr="00CE5D09" w:rsidRDefault="00E258B4" w:rsidP="00CE5D09">
            <w:pPr>
              <w:adjustRightInd w:val="0"/>
              <w:snapToGrid w:val="0"/>
              <w:spacing w:after="0" w:line="240" w:lineRule="auto"/>
              <w:rPr>
                <w:rFonts w:ascii="Times New Roman" w:hAnsi="Times New Roman" w:cs="Times New Roman"/>
                <w:sz w:val="20"/>
                <w:szCs w:val="20"/>
                <w:lang w:eastAsia="zh-CN"/>
              </w:rPr>
            </w:pPr>
            <w:r w:rsidRPr="00CE5D09">
              <w:rPr>
                <w:rFonts w:ascii="Times New Roman" w:hAnsi="Times New Roman" w:cs="Times New Roman"/>
                <w:sz w:val="20"/>
                <w:szCs w:val="20"/>
              </w:rPr>
              <w:t>Robert</w:t>
            </w:r>
            <w:r w:rsidR="00BB4A59" w:rsidRPr="00CE5D09">
              <w:rPr>
                <w:rFonts w:ascii="Times New Roman" w:hAnsi="Times New Roman" w:cs="Times New Roman" w:hint="eastAsia"/>
                <w:sz w:val="20"/>
                <w:szCs w:val="20"/>
                <w:lang w:eastAsia="zh-CN"/>
              </w:rPr>
              <w:t>s</w:t>
            </w:r>
            <w:r w:rsidRPr="00CE5D09">
              <w:rPr>
                <w:rFonts w:ascii="Times New Roman" w:hAnsi="Times New Roman" w:cs="Times New Roman"/>
                <w:sz w:val="20"/>
                <w:szCs w:val="20"/>
              </w:rPr>
              <w:t xml:space="preserve"> et al [17]</w:t>
            </w:r>
          </w:p>
        </w:tc>
        <w:tc>
          <w:tcPr>
            <w:tcW w:w="11685" w:type="dxa"/>
          </w:tcPr>
          <w:p w14:paraId="6FE3AF73" w14:textId="65AB512D" w:rsidR="00E258B4" w:rsidRPr="00CE5D09" w:rsidRDefault="00E258B4" w:rsidP="00CE5D09">
            <w:pPr>
              <w:adjustRightInd w:val="0"/>
              <w:snapToGrid w:val="0"/>
              <w:spacing w:after="0" w:line="240" w:lineRule="auto"/>
              <w:rPr>
                <w:rFonts w:ascii="Times New Roman" w:hAnsi="Times New Roman" w:cs="Times New Roman"/>
                <w:sz w:val="20"/>
                <w:szCs w:val="20"/>
                <w:lang w:eastAsia="zh-CN"/>
              </w:rPr>
            </w:pPr>
            <w:r w:rsidRPr="00CE5D09">
              <w:rPr>
                <w:rFonts w:ascii="Times New Roman" w:hAnsi="Times New Roman" w:cs="Times New Roman"/>
                <w:sz w:val="20"/>
                <w:szCs w:val="20"/>
              </w:rPr>
              <w:t>Biochemical remission was defined as the normalization of aspartate aminotransferase, alanine aminotransferase, and immunoglobulin G levels relative to the reference range of the local laboratory, with or without normalization of liver histology, within the initial two years of treatment. Conversely, treatment failure was determined by the exacerbation of AST or ALT levels, worsening histological activity, onset of liver failure (indicated by jaundice, ascites, or encephalopathy), or early discontinuation due to toxicity.</w:t>
            </w:r>
          </w:p>
        </w:tc>
      </w:tr>
      <w:tr w:rsidR="00E258B4" w:rsidRPr="00CE5D09" w14:paraId="6F21D5B6" w14:textId="77777777" w:rsidTr="00E258B4">
        <w:tc>
          <w:tcPr>
            <w:tcW w:w="2263" w:type="dxa"/>
          </w:tcPr>
          <w:p w14:paraId="7385B4C2" w14:textId="78560F13" w:rsidR="00E258B4" w:rsidRPr="00CE5D09" w:rsidRDefault="00E258B4" w:rsidP="00CE5D09">
            <w:pPr>
              <w:adjustRightInd w:val="0"/>
              <w:snapToGrid w:val="0"/>
              <w:spacing w:after="0" w:line="240" w:lineRule="auto"/>
              <w:rPr>
                <w:rFonts w:ascii="Times New Roman" w:hAnsi="Times New Roman" w:cs="Times New Roman"/>
                <w:sz w:val="20"/>
                <w:szCs w:val="20"/>
                <w:lang w:eastAsia="zh-CN"/>
              </w:rPr>
            </w:pPr>
            <w:r w:rsidRPr="00CE5D09">
              <w:rPr>
                <w:rFonts w:ascii="Times New Roman" w:hAnsi="Times New Roman" w:cs="Times New Roman"/>
                <w:sz w:val="20"/>
                <w:szCs w:val="20"/>
              </w:rPr>
              <w:t>Liberal et al [18]</w:t>
            </w:r>
          </w:p>
        </w:tc>
        <w:tc>
          <w:tcPr>
            <w:tcW w:w="11685" w:type="dxa"/>
          </w:tcPr>
          <w:p w14:paraId="6B747E65" w14:textId="188D430B" w:rsidR="00E258B4" w:rsidRPr="00CE5D09" w:rsidRDefault="00E258B4" w:rsidP="00CE5D09">
            <w:pPr>
              <w:adjustRightInd w:val="0"/>
              <w:snapToGrid w:val="0"/>
              <w:spacing w:after="0" w:line="240" w:lineRule="auto"/>
              <w:rPr>
                <w:rFonts w:ascii="Times New Roman" w:hAnsi="Times New Roman" w:cs="Times New Roman"/>
                <w:sz w:val="20"/>
                <w:szCs w:val="20"/>
                <w:lang w:eastAsia="zh-CN"/>
              </w:rPr>
            </w:pPr>
            <w:r w:rsidRPr="00CE5D09">
              <w:rPr>
                <w:rFonts w:ascii="Times New Roman" w:hAnsi="Times New Roman" w:cs="Times New Roman"/>
                <w:sz w:val="20"/>
                <w:szCs w:val="20"/>
              </w:rPr>
              <w:t>Biochemical response (BR) was defined as an improvement in AST levels (AST between one and two times the upper limit of normal).</w:t>
            </w:r>
          </w:p>
        </w:tc>
      </w:tr>
      <w:tr w:rsidR="00E258B4" w:rsidRPr="00CE5D09" w14:paraId="5281C5ED" w14:textId="77777777" w:rsidTr="00E258B4">
        <w:tc>
          <w:tcPr>
            <w:tcW w:w="2263" w:type="dxa"/>
          </w:tcPr>
          <w:p w14:paraId="00108C0D" w14:textId="7E51A946" w:rsidR="00E258B4" w:rsidRPr="00CE5D09" w:rsidRDefault="00E258B4" w:rsidP="00CE5D09">
            <w:pPr>
              <w:adjustRightInd w:val="0"/>
              <w:snapToGrid w:val="0"/>
              <w:spacing w:after="0" w:line="240" w:lineRule="auto"/>
              <w:rPr>
                <w:rFonts w:ascii="Times New Roman" w:hAnsi="Times New Roman" w:cs="Times New Roman"/>
                <w:sz w:val="20"/>
                <w:szCs w:val="20"/>
                <w:lang w:eastAsia="zh-CN"/>
              </w:rPr>
            </w:pPr>
            <w:r w:rsidRPr="00CE5D09">
              <w:rPr>
                <w:rFonts w:ascii="Times New Roman" w:hAnsi="Times New Roman" w:cs="Times New Roman"/>
                <w:sz w:val="20"/>
                <w:szCs w:val="20"/>
              </w:rPr>
              <w:t>Kolev et al [19]</w:t>
            </w:r>
          </w:p>
        </w:tc>
        <w:tc>
          <w:tcPr>
            <w:tcW w:w="11685" w:type="dxa"/>
          </w:tcPr>
          <w:p w14:paraId="15D9759D" w14:textId="1DD7F00C" w:rsidR="00E258B4" w:rsidRPr="00CE5D09" w:rsidRDefault="00E258B4" w:rsidP="00CE5D09">
            <w:pPr>
              <w:adjustRightInd w:val="0"/>
              <w:snapToGrid w:val="0"/>
              <w:spacing w:after="0" w:line="240" w:lineRule="auto"/>
              <w:rPr>
                <w:rFonts w:ascii="Times New Roman" w:hAnsi="Times New Roman" w:cs="Times New Roman"/>
                <w:sz w:val="20"/>
                <w:szCs w:val="20"/>
                <w:lang w:eastAsia="zh-CN"/>
              </w:rPr>
            </w:pPr>
            <w:r w:rsidRPr="00CE5D09">
              <w:rPr>
                <w:rFonts w:ascii="Times New Roman" w:hAnsi="Times New Roman" w:cs="Times New Roman"/>
                <w:sz w:val="20"/>
                <w:szCs w:val="20"/>
              </w:rPr>
              <w:t>Biochemical remission was defined as the normalization of ALT and IgG levels.</w:t>
            </w:r>
          </w:p>
        </w:tc>
      </w:tr>
      <w:tr w:rsidR="00E258B4" w:rsidRPr="00CE5D09" w14:paraId="4A3CF3F3" w14:textId="77777777" w:rsidTr="00E258B4">
        <w:tc>
          <w:tcPr>
            <w:tcW w:w="2263" w:type="dxa"/>
          </w:tcPr>
          <w:p w14:paraId="5792FDF1" w14:textId="0020BB87" w:rsidR="00E258B4" w:rsidRPr="00CE5D09" w:rsidRDefault="00E258B4" w:rsidP="00CE5D09">
            <w:pPr>
              <w:adjustRightInd w:val="0"/>
              <w:snapToGrid w:val="0"/>
              <w:spacing w:after="0" w:line="240" w:lineRule="auto"/>
              <w:rPr>
                <w:rFonts w:ascii="Times New Roman" w:hAnsi="Times New Roman" w:cs="Times New Roman"/>
                <w:sz w:val="20"/>
                <w:szCs w:val="20"/>
                <w:lang w:eastAsia="zh-CN"/>
              </w:rPr>
            </w:pPr>
            <w:r w:rsidRPr="00CE5D09">
              <w:rPr>
                <w:rFonts w:ascii="Times New Roman" w:hAnsi="Times New Roman" w:cs="Times New Roman"/>
                <w:sz w:val="20"/>
                <w:szCs w:val="20"/>
              </w:rPr>
              <w:t>Hennes et al [20]</w:t>
            </w:r>
          </w:p>
        </w:tc>
        <w:tc>
          <w:tcPr>
            <w:tcW w:w="11685" w:type="dxa"/>
          </w:tcPr>
          <w:p w14:paraId="3D24DCF2" w14:textId="02C6E23E" w:rsidR="00E258B4" w:rsidRPr="00CE5D09" w:rsidRDefault="00E258B4" w:rsidP="00CE5D09">
            <w:pPr>
              <w:adjustRightInd w:val="0"/>
              <w:snapToGrid w:val="0"/>
              <w:spacing w:after="0" w:line="240" w:lineRule="auto"/>
              <w:rPr>
                <w:rFonts w:ascii="Times New Roman" w:hAnsi="Times New Roman" w:cs="Times New Roman"/>
                <w:sz w:val="20"/>
                <w:szCs w:val="20"/>
                <w:lang w:eastAsia="zh-CN"/>
              </w:rPr>
            </w:pPr>
            <w:r w:rsidRPr="00CE5D09">
              <w:rPr>
                <w:rFonts w:ascii="Times New Roman" w:hAnsi="Times New Roman" w:cs="Times New Roman"/>
                <w:sz w:val="20"/>
                <w:szCs w:val="20"/>
              </w:rPr>
              <w:t>Biochemical remission was defined as an AST level of less than twice the normal upper limit.</w:t>
            </w:r>
          </w:p>
        </w:tc>
      </w:tr>
      <w:tr w:rsidR="00E258B4" w:rsidRPr="00CE5D09" w14:paraId="4F51095D" w14:textId="77777777" w:rsidTr="00E258B4">
        <w:tc>
          <w:tcPr>
            <w:tcW w:w="2263" w:type="dxa"/>
          </w:tcPr>
          <w:p w14:paraId="1F67886C" w14:textId="560F2CEF" w:rsidR="00E258B4" w:rsidRPr="00CE5D09" w:rsidRDefault="00E258B4" w:rsidP="00CE5D09">
            <w:pPr>
              <w:adjustRightInd w:val="0"/>
              <w:snapToGrid w:val="0"/>
              <w:spacing w:after="0" w:line="240" w:lineRule="auto"/>
              <w:rPr>
                <w:rFonts w:ascii="Times New Roman" w:hAnsi="Times New Roman" w:cs="Times New Roman"/>
                <w:sz w:val="20"/>
                <w:szCs w:val="20"/>
                <w:lang w:eastAsia="zh-CN"/>
              </w:rPr>
            </w:pPr>
            <w:proofErr w:type="spellStart"/>
            <w:r w:rsidRPr="00CE5D09">
              <w:rPr>
                <w:rFonts w:ascii="Times New Roman" w:hAnsi="Times New Roman" w:cs="Times New Roman"/>
                <w:sz w:val="20"/>
                <w:szCs w:val="20"/>
              </w:rPr>
              <w:t>Dalekos</w:t>
            </w:r>
            <w:proofErr w:type="spellEnd"/>
            <w:r w:rsidRPr="00CE5D09">
              <w:rPr>
                <w:rFonts w:ascii="Times New Roman" w:hAnsi="Times New Roman" w:cs="Times New Roman"/>
                <w:sz w:val="20"/>
                <w:szCs w:val="20"/>
              </w:rPr>
              <w:t xml:space="preserve"> et al</w:t>
            </w:r>
            <w:r w:rsidR="00BB4A59" w:rsidRPr="00CE5D09">
              <w:rPr>
                <w:rFonts w:ascii="Times New Roman" w:hAnsi="Times New Roman" w:cs="Times New Roman" w:hint="eastAsia"/>
                <w:sz w:val="20"/>
                <w:szCs w:val="20"/>
                <w:lang w:eastAsia="zh-CN"/>
              </w:rPr>
              <w:t xml:space="preserve"> </w:t>
            </w:r>
            <w:r w:rsidRPr="00CE5D09">
              <w:rPr>
                <w:rFonts w:ascii="Times New Roman" w:hAnsi="Times New Roman" w:cs="Times New Roman"/>
                <w:sz w:val="20"/>
                <w:szCs w:val="20"/>
              </w:rPr>
              <w:t>[21]</w:t>
            </w:r>
          </w:p>
        </w:tc>
        <w:tc>
          <w:tcPr>
            <w:tcW w:w="11685" w:type="dxa"/>
          </w:tcPr>
          <w:p w14:paraId="61E95439" w14:textId="3AEA85E9" w:rsidR="00E258B4" w:rsidRPr="00CE5D09" w:rsidRDefault="00E258B4" w:rsidP="00CE5D09">
            <w:pPr>
              <w:adjustRightInd w:val="0"/>
              <w:snapToGrid w:val="0"/>
              <w:spacing w:after="0" w:line="240" w:lineRule="auto"/>
              <w:rPr>
                <w:rFonts w:ascii="Times New Roman" w:hAnsi="Times New Roman" w:cs="Times New Roman"/>
                <w:sz w:val="20"/>
                <w:szCs w:val="20"/>
                <w:lang w:eastAsia="zh-CN"/>
              </w:rPr>
            </w:pPr>
            <w:r w:rsidRPr="00CE5D09">
              <w:rPr>
                <w:rFonts w:ascii="Times New Roman" w:hAnsi="Times New Roman" w:cs="Times New Roman"/>
                <w:sz w:val="20"/>
                <w:szCs w:val="20"/>
              </w:rPr>
              <w:t>Biochemical responses were defined as normal transaminase and IgG levels. Non-response was defined as a &lt;</w:t>
            </w:r>
            <w:r w:rsidR="00BB4A59" w:rsidRPr="00CE5D09">
              <w:rPr>
                <w:rFonts w:ascii="Times New Roman" w:hAnsi="Times New Roman" w:cs="Times New Roman" w:hint="eastAsia"/>
                <w:sz w:val="20"/>
                <w:szCs w:val="20"/>
                <w:lang w:eastAsia="zh-CN"/>
              </w:rPr>
              <w:t xml:space="preserve"> </w:t>
            </w:r>
            <w:r w:rsidRPr="00CE5D09">
              <w:rPr>
                <w:rFonts w:ascii="Times New Roman" w:hAnsi="Times New Roman" w:cs="Times New Roman"/>
                <w:sz w:val="20"/>
                <w:szCs w:val="20"/>
              </w:rPr>
              <w:t>50% decrease in serum transaminase levels within 4 weeks after the initiation of treatment.</w:t>
            </w:r>
          </w:p>
        </w:tc>
      </w:tr>
      <w:tr w:rsidR="00E258B4" w:rsidRPr="00CE5D09" w14:paraId="78645F38" w14:textId="77777777" w:rsidTr="00E258B4">
        <w:tc>
          <w:tcPr>
            <w:tcW w:w="2263" w:type="dxa"/>
          </w:tcPr>
          <w:p w14:paraId="72E11BE2" w14:textId="18192D06" w:rsidR="00E258B4" w:rsidRPr="00CE5D09" w:rsidRDefault="00E258B4" w:rsidP="00CE5D09">
            <w:pPr>
              <w:adjustRightInd w:val="0"/>
              <w:snapToGrid w:val="0"/>
              <w:spacing w:after="0" w:line="240" w:lineRule="auto"/>
              <w:rPr>
                <w:rFonts w:ascii="Times New Roman" w:hAnsi="Times New Roman" w:cs="Times New Roman"/>
                <w:sz w:val="20"/>
                <w:szCs w:val="20"/>
                <w:lang w:eastAsia="zh-CN"/>
              </w:rPr>
            </w:pPr>
            <w:proofErr w:type="spellStart"/>
            <w:r w:rsidRPr="00CE5D09">
              <w:rPr>
                <w:rFonts w:ascii="Times New Roman" w:hAnsi="Times New Roman" w:cs="Times New Roman"/>
                <w:sz w:val="20"/>
                <w:szCs w:val="20"/>
              </w:rPr>
              <w:t>Dalekos</w:t>
            </w:r>
            <w:proofErr w:type="spellEnd"/>
            <w:r w:rsidRPr="00CE5D09">
              <w:rPr>
                <w:rFonts w:ascii="Times New Roman" w:hAnsi="Times New Roman" w:cs="Times New Roman"/>
                <w:sz w:val="20"/>
                <w:szCs w:val="20"/>
              </w:rPr>
              <w:t xml:space="preserve"> et al [22]</w:t>
            </w:r>
          </w:p>
        </w:tc>
        <w:tc>
          <w:tcPr>
            <w:tcW w:w="11685" w:type="dxa"/>
          </w:tcPr>
          <w:p w14:paraId="40F7AAE8" w14:textId="1D114757" w:rsidR="00E258B4" w:rsidRPr="00CE5D09" w:rsidRDefault="00E258B4" w:rsidP="00CE5D09">
            <w:pPr>
              <w:adjustRightInd w:val="0"/>
              <w:snapToGrid w:val="0"/>
              <w:spacing w:after="0" w:line="240" w:lineRule="auto"/>
              <w:rPr>
                <w:rFonts w:ascii="Times New Roman" w:hAnsi="Times New Roman" w:cs="Times New Roman"/>
                <w:sz w:val="20"/>
                <w:szCs w:val="20"/>
                <w:lang w:eastAsia="zh-CN"/>
              </w:rPr>
            </w:pPr>
            <w:r w:rsidRPr="00CE5D09">
              <w:rPr>
                <w:rFonts w:ascii="Times New Roman" w:hAnsi="Times New Roman" w:cs="Times New Roman"/>
                <w:sz w:val="20"/>
                <w:szCs w:val="20"/>
              </w:rPr>
              <w:t>Biochemical responses were defined as normal transaminase and IgG levels. Non-response was defined as a &lt;</w:t>
            </w:r>
            <w:r w:rsidR="00BB4A59" w:rsidRPr="00CE5D09">
              <w:rPr>
                <w:rFonts w:ascii="Times New Roman" w:hAnsi="Times New Roman" w:cs="Times New Roman" w:hint="eastAsia"/>
                <w:sz w:val="20"/>
                <w:szCs w:val="20"/>
                <w:lang w:eastAsia="zh-CN"/>
              </w:rPr>
              <w:t xml:space="preserve"> </w:t>
            </w:r>
            <w:r w:rsidRPr="00CE5D09">
              <w:rPr>
                <w:rFonts w:ascii="Times New Roman" w:hAnsi="Times New Roman" w:cs="Times New Roman"/>
                <w:sz w:val="20"/>
                <w:szCs w:val="20"/>
              </w:rPr>
              <w:t>50% decrease in serum transaminase levels within 4 weeks after the initiation of treatment.</w:t>
            </w:r>
          </w:p>
        </w:tc>
      </w:tr>
      <w:tr w:rsidR="00E258B4" w:rsidRPr="00CE5D09" w14:paraId="213A5184" w14:textId="77777777" w:rsidTr="00E258B4">
        <w:tc>
          <w:tcPr>
            <w:tcW w:w="2263" w:type="dxa"/>
          </w:tcPr>
          <w:p w14:paraId="16F686C3" w14:textId="4CC7EE2E" w:rsidR="00E258B4" w:rsidRPr="00CE5D09" w:rsidRDefault="00E258B4" w:rsidP="00CE5D09">
            <w:pPr>
              <w:adjustRightInd w:val="0"/>
              <w:snapToGrid w:val="0"/>
              <w:spacing w:after="0" w:line="240" w:lineRule="auto"/>
              <w:rPr>
                <w:rFonts w:ascii="Times New Roman" w:hAnsi="Times New Roman" w:cs="Times New Roman"/>
                <w:b/>
                <w:bCs/>
                <w:sz w:val="20"/>
                <w:szCs w:val="20"/>
              </w:rPr>
            </w:pPr>
            <w:r w:rsidRPr="00CE5D09">
              <w:rPr>
                <w:rFonts w:ascii="Times New Roman" w:hAnsi="Times New Roman" w:cs="Times New Roman"/>
                <w:sz w:val="20"/>
                <w:szCs w:val="20"/>
              </w:rPr>
              <w:t>Snijders et al</w:t>
            </w:r>
            <w:r w:rsidR="00BB4A59" w:rsidRPr="00CE5D09">
              <w:rPr>
                <w:rFonts w:ascii="Times New Roman" w:hAnsi="Times New Roman" w:cs="Times New Roman" w:hint="eastAsia"/>
                <w:sz w:val="20"/>
                <w:szCs w:val="20"/>
                <w:lang w:eastAsia="zh-CN"/>
              </w:rPr>
              <w:t xml:space="preserve"> </w:t>
            </w:r>
            <w:r w:rsidRPr="00CE5D09">
              <w:rPr>
                <w:rFonts w:ascii="Times New Roman" w:hAnsi="Times New Roman" w:cs="Times New Roman"/>
                <w:sz w:val="20"/>
                <w:szCs w:val="20"/>
              </w:rPr>
              <w:t>(CAMARO trial)</w:t>
            </w:r>
          </w:p>
          <w:p w14:paraId="3DA5D87C" w14:textId="0A9CB55E" w:rsidR="00E258B4" w:rsidRPr="00CE5D09" w:rsidRDefault="00E258B4" w:rsidP="00CE5D09">
            <w:pPr>
              <w:adjustRightInd w:val="0"/>
              <w:snapToGrid w:val="0"/>
              <w:spacing w:after="0" w:line="240" w:lineRule="auto"/>
              <w:rPr>
                <w:rFonts w:ascii="Times New Roman" w:hAnsi="Times New Roman" w:cs="Times New Roman"/>
                <w:sz w:val="20"/>
                <w:szCs w:val="20"/>
                <w:lang w:eastAsia="zh-CN"/>
              </w:rPr>
            </w:pPr>
            <w:r w:rsidRPr="00CE5D09">
              <w:rPr>
                <w:rFonts w:ascii="Times New Roman" w:hAnsi="Times New Roman" w:cs="Times New Roman"/>
                <w:sz w:val="20"/>
                <w:szCs w:val="20"/>
              </w:rPr>
              <w:t>[23]</w:t>
            </w:r>
          </w:p>
        </w:tc>
        <w:tc>
          <w:tcPr>
            <w:tcW w:w="11685" w:type="dxa"/>
          </w:tcPr>
          <w:p w14:paraId="1E6EF1AE" w14:textId="38E69869" w:rsidR="00E258B4" w:rsidRPr="00CE5D09" w:rsidRDefault="00E258B4" w:rsidP="00CE5D09">
            <w:pPr>
              <w:adjustRightInd w:val="0"/>
              <w:snapToGrid w:val="0"/>
              <w:spacing w:after="0" w:line="240" w:lineRule="auto"/>
              <w:rPr>
                <w:rFonts w:ascii="Times New Roman" w:hAnsi="Times New Roman" w:cs="Times New Roman"/>
                <w:sz w:val="20"/>
                <w:szCs w:val="20"/>
                <w:lang w:eastAsia="zh-CN"/>
              </w:rPr>
            </w:pPr>
            <w:r w:rsidRPr="00CE5D09">
              <w:rPr>
                <w:rFonts w:ascii="Times New Roman" w:hAnsi="Times New Roman" w:cs="Times New Roman"/>
                <w:sz w:val="20"/>
                <w:szCs w:val="20"/>
              </w:rPr>
              <w:t>Biochemical remission was defined as normalization of serum ALT and IgG levels at 24 weeks.</w:t>
            </w:r>
          </w:p>
        </w:tc>
      </w:tr>
    </w:tbl>
    <w:p w14:paraId="5F265C1D" w14:textId="263B2C79" w:rsidR="008534C9" w:rsidRPr="00CE5D09" w:rsidRDefault="008534C9" w:rsidP="00CE5D09">
      <w:pPr>
        <w:adjustRightInd w:val="0"/>
        <w:snapToGrid w:val="0"/>
        <w:spacing w:after="0" w:line="240" w:lineRule="auto"/>
        <w:rPr>
          <w:rFonts w:ascii="Times New Roman" w:hAnsi="Times New Roman" w:cs="Times New Roman"/>
          <w:sz w:val="20"/>
          <w:szCs w:val="20"/>
        </w:rPr>
      </w:pPr>
      <w:r w:rsidRPr="00CE5D09">
        <w:rPr>
          <w:rFonts w:ascii="Times New Roman" w:hAnsi="Times New Roman" w:cs="Times New Roman"/>
          <w:sz w:val="20"/>
          <w:szCs w:val="20"/>
        </w:rPr>
        <w:t>AST, aspartate aminotransferase; ALT, alanine aminotransferase; IgG, immunoglobulin G levels.</w:t>
      </w:r>
    </w:p>
    <w:sectPr w:rsidR="008534C9" w:rsidRPr="00CE5D09" w:rsidSect="00E258B4">
      <w:pgSz w:w="16838" w:h="11906" w:orient="landscape"/>
      <w:pgMar w:top="1800" w:right="1440" w:bottom="1800" w:left="144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E2046" w14:textId="77777777" w:rsidR="004913DA" w:rsidRDefault="004913DA" w:rsidP="008534C9">
      <w:pPr>
        <w:spacing w:after="0" w:line="240" w:lineRule="auto"/>
        <w:rPr>
          <w:rFonts w:hint="eastAsia"/>
        </w:rPr>
      </w:pPr>
      <w:r>
        <w:separator/>
      </w:r>
    </w:p>
  </w:endnote>
  <w:endnote w:type="continuationSeparator" w:id="0">
    <w:p w14:paraId="69D3305A" w14:textId="77777777" w:rsidR="004913DA" w:rsidRDefault="004913DA" w:rsidP="008534C9">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896C3" w14:textId="77777777" w:rsidR="004913DA" w:rsidRDefault="004913DA" w:rsidP="008534C9">
      <w:pPr>
        <w:spacing w:after="0" w:line="240" w:lineRule="auto"/>
        <w:rPr>
          <w:rFonts w:hint="eastAsia"/>
        </w:rPr>
      </w:pPr>
      <w:r>
        <w:separator/>
      </w:r>
    </w:p>
  </w:footnote>
  <w:footnote w:type="continuationSeparator" w:id="0">
    <w:p w14:paraId="0511B576" w14:textId="77777777" w:rsidR="004913DA" w:rsidRDefault="004913DA" w:rsidP="008534C9">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E5A"/>
    <w:rsid w:val="00015753"/>
    <w:rsid w:val="001104EE"/>
    <w:rsid w:val="00186BF9"/>
    <w:rsid w:val="004913DA"/>
    <w:rsid w:val="006362E9"/>
    <w:rsid w:val="00795C69"/>
    <w:rsid w:val="007B500D"/>
    <w:rsid w:val="008534C9"/>
    <w:rsid w:val="00922E90"/>
    <w:rsid w:val="009E48E0"/>
    <w:rsid w:val="00BB4A59"/>
    <w:rsid w:val="00CB5E5A"/>
    <w:rsid w:val="00CE5D09"/>
    <w:rsid w:val="00D642E1"/>
    <w:rsid w:val="00D673D8"/>
    <w:rsid w:val="00D976D7"/>
    <w:rsid w:val="00E258B4"/>
    <w:rsid w:val="00F818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3C980"/>
  <w15:chartTrackingRefBased/>
  <w15:docId w15:val="{BBDA212A-BEE9-4223-A830-E624B8F0F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5E5A"/>
    <w:pPr>
      <w:spacing w:after="160" w:line="278" w:lineRule="auto"/>
    </w:pPr>
    <w:rPr>
      <w:sz w:val="24"/>
      <w:szCs w:val="24"/>
      <w:lang w:eastAsia="en-US"/>
    </w:rPr>
  </w:style>
  <w:style w:type="paragraph" w:styleId="1">
    <w:name w:val="heading 1"/>
    <w:basedOn w:val="a"/>
    <w:next w:val="a"/>
    <w:link w:val="10"/>
    <w:uiPriority w:val="9"/>
    <w:qFormat/>
    <w:rsid w:val="00CB5E5A"/>
    <w:pPr>
      <w:keepNext/>
      <w:keepLines/>
      <w:widowControl w:val="0"/>
      <w:spacing w:before="480" w:after="80" w:line="240" w:lineRule="auto"/>
      <w:jc w:val="both"/>
      <w:outlineLvl w:val="0"/>
    </w:pPr>
    <w:rPr>
      <w:rFonts w:asciiTheme="majorHAnsi" w:eastAsiaTheme="majorEastAsia" w:hAnsiTheme="majorHAnsi" w:cstheme="majorBidi"/>
      <w:color w:val="2F5496" w:themeColor="accent1" w:themeShade="BF"/>
      <w:sz w:val="48"/>
      <w:szCs w:val="48"/>
      <w:lang w:eastAsia="zh-CN"/>
    </w:rPr>
  </w:style>
  <w:style w:type="paragraph" w:styleId="2">
    <w:name w:val="heading 2"/>
    <w:basedOn w:val="a"/>
    <w:next w:val="a"/>
    <w:link w:val="20"/>
    <w:uiPriority w:val="9"/>
    <w:semiHidden/>
    <w:unhideWhenUsed/>
    <w:qFormat/>
    <w:rsid w:val="00CB5E5A"/>
    <w:pPr>
      <w:keepNext/>
      <w:keepLines/>
      <w:widowControl w:val="0"/>
      <w:spacing w:before="160" w:after="80" w:line="240" w:lineRule="auto"/>
      <w:jc w:val="both"/>
      <w:outlineLvl w:val="1"/>
    </w:pPr>
    <w:rPr>
      <w:rFonts w:asciiTheme="majorHAnsi" w:eastAsiaTheme="majorEastAsia" w:hAnsiTheme="majorHAnsi" w:cstheme="majorBidi"/>
      <w:color w:val="2F5496" w:themeColor="accent1" w:themeShade="BF"/>
      <w:sz w:val="40"/>
      <w:szCs w:val="40"/>
      <w:lang w:eastAsia="zh-CN"/>
    </w:rPr>
  </w:style>
  <w:style w:type="paragraph" w:styleId="3">
    <w:name w:val="heading 3"/>
    <w:basedOn w:val="a"/>
    <w:next w:val="a"/>
    <w:link w:val="30"/>
    <w:uiPriority w:val="9"/>
    <w:semiHidden/>
    <w:unhideWhenUsed/>
    <w:qFormat/>
    <w:rsid w:val="00CB5E5A"/>
    <w:pPr>
      <w:keepNext/>
      <w:keepLines/>
      <w:widowControl w:val="0"/>
      <w:spacing w:before="160" w:after="80" w:line="240" w:lineRule="auto"/>
      <w:jc w:val="both"/>
      <w:outlineLvl w:val="2"/>
    </w:pPr>
    <w:rPr>
      <w:rFonts w:asciiTheme="majorHAnsi" w:eastAsiaTheme="majorEastAsia" w:hAnsiTheme="majorHAnsi" w:cstheme="majorBidi"/>
      <w:color w:val="2F5496" w:themeColor="accent1" w:themeShade="BF"/>
      <w:sz w:val="32"/>
      <w:szCs w:val="32"/>
      <w:lang w:eastAsia="zh-CN"/>
    </w:rPr>
  </w:style>
  <w:style w:type="paragraph" w:styleId="4">
    <w:name w:val="heading 4"/>
    <w:basedOn w:val="a"/>
    <w:next w:val="a"/>
    <w:link w:val="40"/>
    <w:uiPriority w:val="9"/>
    <w:semiHidden/>
    <w:unhideWhenUsed/>
    <w:qFormat/>
    <w:rsid w:val="00CB5E5A"/>
    <w:pPr>
      <w:keepNext/>
      <w:keepLines/>
      <w:widowControl w:val="0"/>
      <w:spacing w:before="80" w:after="40" w:line="240" w:lineRule="auto"/>
      <w:jc w:val="both"/>
      <w:outlineLvl w:val="3"/>
    </w:pPr>
    <w:rPr>
      <w:rFonts w:cstheme="majorBidi"/>
      <w:color w:val="2F5496" w:themeColor="accent1" w:themeShade="BF"/>
      <w:sz w:val="28"/>
      <w:szCs w:val="28"/>
      <w:lang w:eastAsia="zh-CN"/>
    </w:rPr>
  </w:style>
  <w:style w:type="paragraph" w:styleId="5">
    <w:name w:val="heading 5"/>
    <w:basedOn w:val="a"/>
    <w:next w:val="a"/>
    <w:link w:val="50"/>
    <w:uiPriority w:val="9"/>
    <w:semiHidden/>
    <w:unhideWhenUsed/>
    <w:qFormat/>
    <w:rsid w:val="00CB5E5A"/>
    <w:pPr>
      <w:keepNext/>
      <w:keepLines/>
      <w:widowControl w:val="0"/>
      <w:spacing w:before="80" w:after="40" w:line="240" w:lineRule="auto"/>
      <w:jc w:val="both"/>
      <w:outlineLvl w:val="4"/>
    </w:pPr>
    <w:rPr>
      <w:rFonts w:cstheme="majorBidi"/>
      <w:color w:val="2F5496" w:themeColor="accent1" w:themeShade="BF"/>
      <w:lang w:eastAsia="zh-CN"/>
    </w:rPr>
  </w:style>
  <w:style w:type="paragraph" w:styleId="6">
    <w:name w:val="heading 6"/>
    <w:basedOn w:val="a"/>
    <w:next w:val="a"/>
    <w:link w:val="60"/>
    <w:uiPriority w:val="9"/>
    <w:semiHidden/>
    <w:unhideWhenUsed/>
    <w:qFormat/>
    <w:rsid w:val="00CB5E5A"/>
    <w:pPr>
      <w:keepNext/>
      <w:keepLines/>
      <w:widowControl w:val="0"/>
      <w:spacing w:before="40" w:after="0" w:line="240" w:lineRule="auto"/>
      <w:jc w:val="both"/>
      <w:outlineLvl w:val="5"/>
    </w:pPr>
    <w:rPr>
      <w:rFonts w:cstheme="majorBidi"/>
      <w:b/>
      <w:bCs/>
      <w:color w:val="2F5496" w:themeColor="accent1" w:themeShade="BF"/>
      <w:sz w:val="21"/>
      <w:szCs w:val="22"/>
      <w:lang w:eastAsia="zh-CN"/>
    </w:rPr>
  </w:style>
  <w:style w:type="paragraph" w:styleId="7">
    <w:name w:val="heading 7"/>
    <w:basedOn w:val="a"/>
    <w:next w:val="a"/>
    <w:link w:val="70"/>
    <w:uiPriority w:val="9"/>
    <w:semiHidden/>
    <w:unhideWhenUsed/>
    <w:qFormat/>
    <w:rsid w:val="00CB5E5A"/>
    <w:pPr>
      <w:keepNext/>
      <w:keepLines/>
      <w:widowControl w:val="0"/>
      <w:spacing w:before="40" w:after="0" w:line="240" w:lineRule="auto"/>
      <w:jc w:val="both"/>
      <w:outlineLvl w:val="6"/>
    </w:pPr>
    <w:rPr>
      <w:rFonts w:cstheme="majorBidi"/>
      <w:b/>
      <w:bCs/>
      <w:color w:val="595959" w:themeColor="text1" w:themeTint="A6"/>
      <w:sz w:val="21"/>
      <w:szCs w:val="22"/>
      <w:lang w:eastAsia="zh-CN"/>
    </w:rPr>
  </w:style>
  <w:style w:type="paragraph" w:styleId="8">
    <w:name w:val="heading 8"/>
    <w:basedOn w:val="a"/>
    <w:next w:val="a"/>
    <w:link w:val="80"/>
    <w:uiPriority w:val="9"/>
    <w:semiHidden/>
    <w:unhideWhenUsed/>
    <w:qFormat/>
    <w:rsid w:val="00CB5E5A"/>
    <w:pPr>
      <w:keepNext/>
      <w:keepLines/>
      <w:widowControl w:val="0"/>
      <w:spacing w:after="0" w:line="240" w:lineRule="auto"/>
      <w:jc w:val="both"/>
      <w:outlineLvl w:val="7"/>
    </w:pPr>
    <w:rPr>
      <w:rFonts w:cstheme="majorBidi"/>
      <w:color w:val="595959" w:themeColor="text1" w:themeTint="A6"/>
      <w:sz w:val="21"/>
      <w:szCs w:val="22"/>
      <w:lang w:eastAsia="zh-CN"/>
    </w:rPr>
  </w:style>
  <w:style w:type="paragraph" w:styleId="9">
    <w:name w:val="heading 9"/>
    <w:basedOn w:val="a"/>
    <w:next w:val="a"/>
    <w:link w:val="90"/>
    <w:uiPriority w:val="9"/>
    <w:semiHidden/>
    <w:unhideWhenUsed/>
    <w:qFormat/>
    <w:rsid w:val="00CB5E5A"/>
    <w:pPr>
      <w:keepNext/>
      <w:keepLines/>
      <w:widowControl w:val="0"/>
      <w:spacing w:after="0" w:line="240" w:lineRule="auto"/>
      <w:jc w:val="both"/>
      <w:outlineLvl w:val="8"/>
    </w:pPr>
    <w:rPr>
      <w:rFonts w:eastAsiaTheme="majorEastAsia" w:cstheme="majorBidi"/>
      <w:color w:val="595959" w:themeColor="text1" w:themeTint="A6"/>
      <w:sz w:val="21"/>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B5E5A"/>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CB5E5A"/>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CB5E5A"/>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CB5E5A"/>
    <w:rPr>
      <w:rFonts w:cstheme="majorBidi"/>
      <w:color w:val="2F5496" w:themeColor="accent1" w:themeShade="BF"/>
      <w:sz w:val="28"/>
      <w:szCs w:val="28"/>
    </w:rPr>
  </w:style>
  <w:style w:type="character" w:customStyle="1" w:styleId="50">
    <w:name w:val="标题 5 字符"/>
    <w:basedOn w:val="a0"/>
    <w:link w:val="5"/>
    <w:uiPriority w:val="9"/>
    <w:semiHidden/>
    <w:rsid w:val="00CB5E5A"/>
    <w:rPr>
      <w:rFonts w:cstheme="majorBidi"/>
      <w:color w:val="2F5496" w:themeColor="accent1" w:themeShade="BF"/>
      <w:sz w:val="24"/>
      <w:szCs w:val="24"/>
    </w:rPr>
  </w:style>
  <w:style w:type="character" w:customStyle="1" w:styleId="60">
    <w:name w:val="标题 6 字符"/>
    <w:basedOn w:val="a0"/>
    <w:link w:val="6"/>
    <w:uiPriority w:val="9"/>
    <w:semiHidden/>
    <w:rsid w:val="00CB5E5A"/>
    <w:rPr>
      <w:rFonts w:cstheme="majorBidi"/>
      <w:b/>
      <w:bCs/>
      <w:color w:val="2F5496" w:themeColor="accent1" w:themeShade="BF"/>
    </w:rPr>
  </w:style>
  <w:style w:type="character" w:customStyle="1" w:styleId="70">
    <w:name w:val="标题 7 字符"/>
    <w:basedOn w:val="a0"/>
    <w:link w:val="7"/>
    <w:uiPriority w:val="9"/>
    <w:semiHidden/>
    <w:rsid w:val="00CB5E5A"/>
    <w:rPr>
      <w:rFonts w:cstheme="majorBidi"/>
      <w:b/>
      <w:bCs/>
      <w:color w:val="595959" w:themeColor="text1" w:themeTint="A6"/>
    </w:rPr>
  </w:style>
  <w:style w:type="character" w:customStyle="1" w:styleId="80">
    <w:name w:val="标题 8 字符"/>
    <w:basedOn w:val="a0"/>
    <w:link w:val="8"/>
    <w:uiPriority w:val="9"/>
    <w:semiHidden/>
    <w:rsid w:val="00CB5E5A"/>
    <w:rPr>
      <w:rFonts w:cstheme="majorBidi"/>
      <w:color w:val="595959" w:themeColor="text1" w:themeTint="A6"/>
    </w:rPr>
  </w:style>
  <w:style w:type="character" w:customStyle="1" w:styleId="90">
    <w:name w:val="标题 9 字符"/>
    <w:basedOn w:val="a0"/>
    <w:link w:val="9"/>
    <w:uiPriority w:val="9"/>
    <w:semiHidden/>
    <w:rsid w:val="00CB5E5A"/>
    <w:rPr>
      <w:rFonts w:eastAsiaTheme="majorEastAsia" w:cstheme="majorBidi"/>
      <w:color w:val="595959" w:themeColor="text1" w:themeTint="A6"/>
    </w:rPr>
  </w:style>
  <w:style w:type="paragraph" w:styleId="a3">
    <w:name w:val="Title"/>
    <w:basedOn w:val="a"/>
    <w:next w:val="a"/>
    <w:link w:val="a4"/>
    <w:uiPriority w:val="10"/>
    <w:qFormat/>
    <w:rsid w:val="00CB5E5A"/>
    <w:pPr>
      <w:widowControl w:val="0"/>
      <w:spacing w:after="80" w:line="240" w:lineRule="auto"/>
      <w:contextualSpacing/>
      <w:jc w:val="center"/>
    </w:pPr>
    <w:rPr>
      <w:rFonts w:asciiTheme="majorHAnsi" w:eastAsiaTheme="majorEastAsia" w:hAnsiTheme="majorHAnsi" w:cstheme="majorBidi"/>
      <w:spacing w:val="-10"/>
      <w:kern w:val="28"/>
      <w:sz w:val="56"/>
      <w:szCs w:val="56"/>
      <w:lang w:eastAsia="zh-CN"/>
    </w:rPr>
  </w:style>
  <w:style w:type="character" w:customStyle="1" w:styleId="a4">
    <w:name w:val="标题 字符"/>
    <w:basedOn w:val="a0"/>
    <w:link w:val="a3"/>
    <w:uiPriority w:val="10"/>
    <w:rsid w:val="00CB5E5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5E5A"/>
    <w:pPr>
      <w:widowControl w:val="0"/>
      <w:numPr>
        <w:ilvl w:val="1"/>
      </w:numPr>
      <w:spacing w:line="240" w:lineRule="auto"/>
      <w:jc w:val="center"/>
    </w:pPr>
    <w:rPr>
      <w:rFonts w:asciiTheme="majorHAnsi" w:eastAsiaTheme="majorEastAsia" w:hAnsiTheme="majorHAnsi" w:cstheme="majorBidi"/>
      <w:color w:val="595959" w:themeColor="text1" w:themeTint="A6"/>
      <w:spacing w:val="15"/>
      <w:sz w:val="28"/>
      <w:szCs w:val="28"/>
      <w:lang w:eastAsia="zh-CN"/>
    </w:rPr>
  </w:style>
  <w:style w:type="character" w:customStyle="1" w:styleId="a6">
    <w:name w:val="副标题 字符"/>
    <w:basedOn w:val="a0"/>
    <w:link w:val="a5"/>
    <w:uiPriority w:val="11"/>
    <w:rsid w:val="00CB5E5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5E5A"/>
    <w:pPr>
      <w:widowControl w:val="0"/>
      <w:spacing w:before="160" w:line="240" w:lineRule="auto"/>
      <w:jc w:val="center"/>
    </w:pPr>
    <w:rPr>
      <w:i/>
      <w:iCs/>
      <w:color w:val="404040" w:themeColor="text1" w:themeTint="BF"/>
      <w:sz w:val="21"/>
      <w:szCs w:val="22"/>
      <w:lang w:eastAsia="zh-CN"/>
    </w:rPr>
  </w:style>
  <w:style w:type="character" w:customStyle="1" w:styleId="a8">
    <w:name w:val="引用 字符"/>
    <w:basedOn w:val="a0"/>
    <w:link w:val="a7"/>
    <w:uiPriority w:val="29"/>
    <w:rsid w:val="00CB5E5A"/>
    <w:rPr>
      <w:i/>
      <w:iCs/>
      <w:color w:val="404040" w:themeColor="text1" w:themeTint="BF"/>
    </w:rPr>
  </w:style>
  <w:style w:type="paragraph" w:styleId="a9">
    <w:name w:val="List Paragraph"/>
    <w:basedOn w:val="a"/>
    <w:uiPriority w:val="34"/>
    <w:qFormat/>
    <w:rsid w:val="00CB5E5A"/>
    <w:pPr>
      <w:widowControl w:val="0"/>
      <w:spacing w:after="0" w:line="240" w:lineRule="auto"/>
      <w:ind w:left="720"/>
      <w:contextualSpacing/>
      <w:jc w:val="both"/>
    </w:pPr>
    <w:rPr>
      <w:sz w:val="21"/>
      <w:szCs w:val="22"/>
      <w:lang w:eastAsia="zh-CN"/>
    </w:rPr>
  </w:style>
  <w:style w:type="character" w:styleId="aa">
    <w:name w:val="Intense Emphasis"/>
    <w:basedOn w:val="a0"/>
    <w:uiPriority w:val="21"/>
    <w:qFormat/>
    <w:rsid w:val="00CB5E5A"/>
    <w:rPr>
      <w:i/>
      <w:iCs/>
      <w:color w:val="2F5496" w:themeColor="accent1" w:themeShade="BF"/>
    </w:rPr>
  </w:style>
  <w:style w:type="paragraph" w:styleId="ab">
    <w:name w:val="Intense Quote"/>
    <w:basedOn w:val="a"/>
    <w:next w:val="a"/>
    <w:link w:val="ac"/>
    <w:uiPriority w:val="30"/>
    <w:qFormat/>
    <w:rsid w:val="00CB5E5A"/>
    <w:pPr>
      <w:widowControl w:val="0"/>
      <w:pBdr>
        <w:top w:val="single" w:sz="4" w:space="10" w:color="2F5496" w:themeColor="accent1" w:themeShade="BF"/>
        <w:bottom w:val="single" w:sz="4" w:space="10" w:color="2F5496" w:themeColor="accent1" w:themeShade="BF"/>
      </w:pBdr>
      <w:spacing w:before="360" w:after="360" w:line="240" w:lineRule="auto"/>
      <w:ind w:left="864" w:right="864"/>
      <w:jc w:val="center"/>
    </w:pPr>
    <w:rPr>
      <w:i/>
      <w:iCs/>
      <w:color w:val="2F5496" w:themeColor="accent1" w:themeShade="BF"/>
      <w:sz w:val="21"/>
      <w:szCs w:val="22"/>
      <w:lang w:eastAsia="zh-CN"/>
    </w:rPr>
  </w:style>
  <w:style w:type="character" w:customStyle="1" w:styleId="ac">
    <w:name w:val="明显引用 字符"/>
    <w:basedOn w:val="a0"/>
    <w:link w:val="ab"/>
    <w:uiPriority w:val="30"/>
    <w:rsid w:val="00CB5E5A"/>
    <w:rPr>
      <w:i/>
      <w:iCs/>
      <w:color w:val="2F5496" w:themeColor="accent1" w:themeShade="BF"/>
    </w:rPr>
  </w:style>
  <w:style w:type="character" w:styleId="ad">
    <w:name w:val="Intense Reference"/>
    <w:basedOn w:val="a0"/>
    <w:uiPriority w:val="32"/>
    <w:qFormat/>
    <w:rsid w:val="00CB5E5A"/>
    <w:rPr>
      <w:b/>
      <w:bCs/>
      <w:smallCaps/>
      <w:color w:val="2F5496" w:themeColor="accent1" w:themeShade="BF"/>
      <w:spacing w:val="5"/>
    </w:rPr>
  </w:style>
  <w:style w:type="table" w:styleId="ae">
    <w:name w:val="Grid Table Light"/>
    <w:basedOn w:val="a1"/>
    <w:uiPriority w:val="40"/>
    <w:rsid w:val="00CB5E5A"/>
    <w:rPr>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
    <w:name w:val="header"/>
    <w:basedOn w:val="a"/>
    <w:link w:val="af0"/>
    <w:uiPriority w:val="99"/>
    <w:unhideWhenUsed/>
    <w:rsid w:val="008534C9"/>
    <w:pPr>
      <w:tabs>
        <w:tab w:val="center" w:pos="4153"/>
        <w:tab w:val="right" w:pos="8306"/>
      </w:tabs>
      <w:snapToGrid w:val="0"/>
      <w:spacing w:line="240" w:lineRule="auto"/>
      <w:jc w:val="center"/>
    </w:pPr>
    <w:rPr>
      <w:sz w:val="18"/>
      <w:szCs w:val="18"/>
    </w:rPr>
  </w:style>
  <w:style w:type="character" w:customStyle="1" w:styleId="af0">
    <w:name w:val="页眉 字符"/>
    <w:basedOn w:val="a0"/>
    <w:link w:val="af"/>
    <w:uiPriority w:val="99"/>
    <w:rsid w:val="008534C9"/>
    <w:rPr>
      <w:sz w:val="18"/>
      <w:szCs w:val="18"/>
      <w:lang w:eastAsia="en-US"/>
    </w:rPr>
  </w:style>
  <w:style w:type="paragraph" w:styleId="af1">
    <w:name w:val="footer"/>
    <w:basedOn w:val="a"/>
    <w:link w:val="af2"/>
    <w:uiPriority w:val="99"/>
    <w:unhideWhenUsed/>
    <w:rsid w:val="008534C9"/>
    <w:pPr>
      <w:tabs>
        <w:tab w:val="center" w:pos="4153"/>
        <w:tab w:val="right" w:pos="8306"/>
      </w:tabs>
      <w:snapToGrid w:val="0"/>
      <w:spacing w:line="240" w:lineRule="auto"/>
    </w:pPr>
    <w:rPr>
      <w:sz w:val="18"/>
      <w:szCs w:val="18"/>
    </w:rPr>
  </w:style>
  <w:style w:type="character" w:customStyle="1" w:styleId="af2">
    <w:name w:val="页脚 字符"/>
    <w:basedOn w:val="a0"/>
    <w:link w:val="af1"/>
    <w:uiPriority w:val="99"/>
    <w:rsid w:val="008534C9"/>
    <w:rPr>
      <w:sz w:val="18"/>
      <w:szCs w:val="18"/>
      <w:lang w:eastAsia="en-US"/>
    </w:rPr>
  </w:style>
  <w:style w:type="table" w:styleId="af3">
    <w:name w:val="Table Grid"/>
    <w:basedOn w:val="a1"/>
    <w:uiPriority w:val="39"/>
    <w:rsid w:val="00E258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471</Words>
  <Characters>2691</Characters>
  <Application>Microsoft Office Word</Application>
  <DocSecurity>0</DocSecurity>
  <Lines>22</Lines>
  <Paragraphs>6</Paragraphs>
  <ScaleCrop>false</ScaleCrop>
  <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 R</dc:creator>
  <cp:keywords/>
  <dc:description/>
  <cp:lastModifiedBy>May R</cp:lastModifiedBy>
  <cp:revision>9</cp:revision>
  <dcterms:created xsi:type="dcterms:W3CDTF">2025-06-05T13:26:00Z</dcterms:created>
  <dcterms:modified xsi:type="dcterms:W3CDTF">2025-06-05T13:43:00Z</dcterms:modified>
</cp:coreProperties>
</file>