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23" w:rsidRDefault="008F1723" w:rsidP="008F1723">
      <w:r w:rsidRPr="008053A5">
        <w:rPr>
          <w:rStyle w:val="Strong"/>
        </w:rPr>
        <w:t>Supplementary Table S1</w:t>
      </w:r>
      <w:r>
        <w:rPr>
          <w:rStyle w:val="Strong"/>
        </w:rPr>
        <w:t xml:space="preserve">. </w:t>
      </w:r>
      <w:r>
        <w:t>D</w:t>
      </w:r>
      <w:r w:rsidRPr="008053A5">
        <w:t>efinitions of clinical response, remission, and steroid-free clinical remission for each included study</w:t>
      </w:r>
      <w: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1364"/>
        <w:gridCol w:w="2881"/>
        <w:gridCol w:w="2175"/>
        <w:gridCol w:w="2436"/>
      </w:tblGrid>
      <w:tr w:rsidR="008F1723" w:rsidTr="00EF2373">
        <w:trPr>
          <w:jc w:val="center"/>
        </w:trPr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/>
                <w:lang w:val="en-US"/>
              </w:rPr>
            </w:pPr>
            <w:r w:rsidRPr="008053A5">
              <w:rPr>
                <w:b/>
                <w:lang w:val="en-US"/>
              </w:rPr>
              <w:t>Trial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/>
                <w:lang w:val="en-US"/>
              </w:rPr>
            </w:pPr>
            <w:r w:rsidRPr="008053A5">
              <w:rPr>
                <w:b/>
                <w:lang w:val="en-US"/>
              </w:rPr>
              <w:t>Clinical Response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/>
                <w:lang w:val="en-US"/>
              </w:rPr>
            </w:pPr>
            <w:r w:rsidRPr="008053A5">
              <w:rPr>
                <w:b/>
                <w:lang w:val="en-US"/>
              </w:rPr>
              <w:t>Clinical Remission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/>
                <w:lang w:val="en-US"/>
              </w:rPr>
            </w:pPr>
            <w:r w:rsidRPr="008053A5">
              <w:rPr>
                <w:b/>
                <w:lang w:val="en-US"/>
              </w:rPr>
              <w:t>Steroid-free Clinical Remission</w:t>
            </w:r>
          </w:p>
        </w:tc>
      </w:tr>
      <w:tr w:rsidR="008F1723" w:rsidTr="00EF2373">
        <w:trPr>
          <w:jc w:val="center"/>
        </w:trPr>
        <w:tc>
          <w:tcPr>
            <w:tcW w:w="0" w:type="auto"/>
            <w:vAlign w:val="center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rFonts w:eastAsia="Times New Roman"/>
                <w:bCs/>
                <w:color w:val="000000"/>
              </w:rPr>
              <w:t>TACOS, 2024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Decline inthe Lichtiger index by &gt;3 points by day 7 and an absolute score &lt;10 for 2 consecutive days without the need for rescue therapy (infliximab or colectomy).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</w:tr>
      <w:tr w:rsidR="008F1723" w:rsidRPr="00443A73" w:rsidTr="00EF2373">
        <w:trPr>
          <w:jc w:val="center"/>
        </w:trPr>
        <w:tc>
          <w:tcPr>
            <w:tcW w:w="0" w:type="auto"/>
            <w:vAlign w:val="center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rFonts w:eastAsia="Times New Roman"/>
                <w:bCs/>
                <w:color w:val="000000"/>
              </w:rPr>
              <w:t>REASUC, 2024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LCAI &lt;10 or a decrease of at least 3 points in this index after 1 week from third-line rescue treatment initiation. Afterwards, it was defined as a decrease of at least 2 points in the PMS.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LCAI ≤3 points after 1 week from third-line rescue treatment initiation.20 Afterwards, it was considered when PMS was &lt;3.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</w:p>
        </w:tc>
      </w:tr>
      <w:tr w:rsidR="008F1723" w:rsidTr="00EF2373">
        <w:trPr>
          <w:jc w:val="center"/>
        </w:trPr>
        <w:tc>
          <w:tcPr>
            <w:tcW w:w="0" w:type="auto"/>
            <w:vAlign w:val="center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rFonts w:eastAsia="Times New Roman"/>
                <w:bCs/>
                <w:color w:val="000000"/>
              </w:rPr>
              <w:t>Berinstein et al., 2021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</w:tr>
      <w:tr w:rsidR="008F1723" w:rsidTr="00EF2373">
        <w:trPr>
          <w:jc w:val="center"/>
        </w:trPr>
        <w:tc>
          <w:tcPr>
            <w:tcW w:w="0" w:type="auto"/>
            <w:vAlign w:val="center"/>
          </w:tcPr>
          <w:p w:rsidR="008F1723" w:rsidRPr="008053A5" w:rsidRDefault="008F1723" w:rsidP="00EF2373">
            <w:pPr>
              <w:shd w:val="clear" w:color="auto" w:fill="auto"/>
              <w:tabs>
                <w:tab w:val="left" w:pos="315"/>
              </w:tabs>
              <w:jc w:val="center"/>
              <w:rPr>
                <w:bCs/>
                <w:lang w:val="en-US"/>
              </w:rPr>
            </w:pPr>
            <w:r w:rsidRPr="008053A5">
              <w:rPr>
                <w:rFonts w:eastAsia="Times New Roman"/>
                <w:bCs/>
                <w:color w:val="000000"/>
              </w:rPr>
              <w:t>Uzzan et al., 2021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Decrease of the partial clinical Mayo score of at least 3 points, with a decrease of at least 30% and a reduction of at least 1 point on the bleeding subscore with a subscore of 0 or 1, as compared with inclusion.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Partial clinical Mayo score of less than 3, without any of the subscores with a value higher than 1.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</w:tr>
      <w:tr w:rsidR="008F1723" w:rsidTr="00EF2373">
        <w:trPr>
          <w:jc w:val="center"/>
        </w:trPr>
        <w:tc>
          <w:tcPr>
            <w:tcW w:w="0" w:type="auto"/>
            <w:vAlign w:val="center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rFonts w:eastAsia="Times New Roman"/>
                <w:bCs/>
                <w:color w:val="000000"/>
              </w:rPr>
              <w:t>Resál et al., 2024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NA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pMayo &lt;2 and CRP &lt;5 mg/L with</w:t>
            </w:r>
          </w:p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no rectal bleeding and with no concomitant corticosteroid</w:t>
            </w:r>
          </w:p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therapy.</w:t>
            </w:r>
          </w:p>
        </w:tc>
      </w:tr>
      <w:tr w:rsidR="008F1723" w:rsidRPr="00443A73" w:rsidTr="00EF2373">
        <w:trPr>
          <w:jc w:val="center"/>
        </w:trPr>
        <w:tc>
          <w:tcPr>
            <w:tcW w:w="0" w:type="auto"/>
            <w:vAlign w:val="center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rFonts w:eastAsia="Times New Roman"/>
                <w:bCs/>
                <w:color w:val="000000"/>
              </w:rPr>
            </w:pPr>
            <w:r w:rsidRPr="008053A5">
              <w:rPr>
                <w:rFonts w:eastAsia="Times New Roman"/>
                <w:bCs/>
                <w:color w:val="000000"/>
              </w:rPr>
              <w:t>TRIUMPH, 2025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tabs>
                <w:tab w:val="left" w:pos="180"/>
              </w:tabs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Clinical response was defined as MTWSI reduction by 3 or more points, and MTWSI &lt; 10.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Clinical remission was defined as partial Mayo score ≤2 with no subscore &gt;1.</w:t>
            </w:r>
          </w:p>
        </w:tc>
        <w:tc>
          <w:tcPr>
            <w:tcW w:w="0" w:type="auto"/>
          </w:tcPr>
          <w:p w:rsidR="008F1723" w:rsidRPr="008053A5" w:rsidRDefault="008F1723" w:rsidP="00EF2373">
            <w:pPr>
              <w:shd w:val="clear" w:color="auto" w:fill="auto"/>
              <w:jc w:val="center"/>
              <w:rPr>
                <w:bCs/>
                <w:lang w:val="en-US"/>
              </w:rPr>
            </w:pPr>
            <w:r w:rsidRPr="008053A5">
              <w:rPr>
                <w:bCs/>
                <w:lang w:val="en-US"/>
              </w:rPr>
              <w:t>Steroid-free clinical remission was defined as partial Mayo score &lt;2 with no subscore &gt;1 and free of corticosteroid use for &gt; 90 days.</w:t>
            </w:r>
          </w:p>
        </w:tc>
      </w:tr>
      <w:tr w:rsidR="008F1723" w:rsidRPr="00443A73" w:rsidTr="00EF2373">
        <w:trPr>
          <w:jc w:val="center"/>
        </w:trPr>
        <w:tc>
          <w:tcPr>
            <w:tcW w:w="0" w:type="auto"/>
            <w:gridSpan w:val="4"/>
            <w:vAlign w:val="center"/>
          </w:tcPr>
          <w:p w:rsidR="008F1723" w:rsidRPr="008053A5" w:rsidRDefault="008F1723" w:rsidP="00EF2373">
            <w:pPr>
              <w:shd w:val="clear" w:color="auto" w:fill="auto"/>
              <w:rPr>
                <w:bCs/>
                <w:lang w:val="en-US"/>
              </w:rPr>
            </w:pPr>
            <w:r w:rsidRPr="008053A5">
              <w:rPr>
                <w:bCs/>
                <w:sz w:val="20"/>
                <w:szCs w:val="20"/>
                <w:lang w:val="en-US"/>
              </w:rPr>
              <w:t>CRP: C-reactive Protein; LCAI: Lichtiger Clinical Activity Index; MTWSI: Modified Truelove and Witts Severity Index; pMayo: Partial Mayo Score; PMS: Partial Mayo Score</w:t>
            </w:r>
            <w:r w:rsidRPr="008053A5">
              <w:rPr>
                <w:bCs/>
                <w:lang w:val="en-US"/>
              </w:rPr>
              <w:t>.</w:t>
            </w:r>
          </w:p>
        </w:tc>
      </w:tr>
    </w:tbl>
    <w:p w:rsidR="008F1723" w:rsidRDefault="008F1723" w:rsidP="008F1723">
      <w:pPr>
        <w:rPr>
          <w:b/>
        </w:rPr>
      </w:pPr>
    </w:p>
    <w:p w:rsidR="008F1723" w:rsidRDefault="008F1723" w:rsidP="008F1723">
      <w:pPr>
        <w:rPr>
          <w:b/>
        </w:rPr>
      </w:pPr>
    </w:p>
    <w:p w:rsidR="008F1723" w:rsidRDefault="008F1723" w:rsidP="008F1723">
      <w:pPr>
        <w:rPr>
          <w:b/>
        </w:rPr>
      </w:pPr>
    </w:p>
    <w:p w:rsidR="0016756F" w:rsidRDefault="008F1723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8F1723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8F1723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1723"/>
    <w:rPr>
      <w:b/>
      <w:bCs/>
    </w:rPr>
  </w:style>
  <w:style w:type="table" w:styleId="TableGrid">
    <w:name w:val="Table Grid"/>
    <w:basedOn w:val="TableNormal"/>
    <w:uiPriority w:val="39"/>
    <w:rsid w:val="008F1723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2025-10-09T06:56:00Z</dcterms:created>
  <dcterms:modified xsi:type="dcterms:W3CDTF">2025-10-09T06:57:00Z</dcterms:modified>
</cp:coreProperties>
</file>