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AC13" w14:textId="7D0D80FD" w:rsidR="009E48E0" w:rsidRPr="003D6CF3" w:rsidRDefault="003D6CF3">
      <w:pPr>
        <w:rPr>
          <w:rFonts w:hint="eastAsia"/>
        </w:rPr>
      </w:pPr>
      <w:r w:rsidRPr="003D6CF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C713E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uppl </w:t>
      </w:r>
      <w:r w:rsidRPr="003D6CF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3D6CF3">
        <w:rPr>
          <w:rFonts w:ascii="Times New Roman" w:hAnsi="Times New Roman" w:cs="Times New Roman"/>
          <w:sz w:val="24"/>
          <w:szCs w:val="24"/>
        </w:rPr>
        <w:t>Clinical efficacy of early and late biologic intervention at week 14 and 52</w:t>
      </w:r>
    </w:p>
    <w:tbl>
      <w:tblPr>
        <w:tblStyle w:val="ae"/>
        <w:tblW w:w="8359" w:type="dxa"/>
        <w:jc w:val="center"/>
        <w:tblLook w:val="04A0" w:firstRow="1" w:lastRow="0" w:firstColumn="1" w:lastColumn="0" w:noHBand="0" w:noVBand="1"/>
      </w:tblPr>
      <w:tblGrid>
        <w:gridCol w:w="864"/>
        <w:gridCol w:w="1798"/>
        <w:gridCol w:w="1559"/>
        <w:gridCol w:w="1458"/>
        <w:gridCol w:w="794"/>
        <w:gridCol w:w="830"/>
        <w:gridCol w:w="1056"/>
      </w:tblGrid>
      <w:tr w:rsidR="003D6CF3" w:rsidRPr="003D6CF3" w14:paraId="50A2C18A" w14:textId="77777777" w:rsidTr="000C713E">
        <w:trPr>
          <w:jc w:val="center"/>
        </w:trPr>
        <w:tc>
          <w:tcPr>
            <w:tcW w:w="0" w:type="auto"/>
            <w:vAlign w:val="center"/>
          </w:tcPr>
          <w:p w14:paraId="1AC9FEC3" w14:textId="77777777" w:rsidR="003D6CF3" w:rsidRPr="003D6CF3" w:rsidRDefault="003D6CF3" w:rsidP="000C713E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798" w:type="dxa"/>
            <w:vAlign w:val="center"/>
          </w:tcPr>
          <w:p w14:paraId="523F3204" w14:textId="77777777" w:rsidR="003D6CF3" w:rsidRPr="003D6CF3" w:rsidRDefault="003D6CF3" w:rsidP="000C713E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6E9F9D" w14:textId="77777777" w:rsidR="003D6CF3" w:rsidRPr="003D6CF3" w:rsidRDefault="003D6CF3" w:rsidP="000C713E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Late</w:t>
            </w:r>
          </w:p>
        </w:tc>
        <w:tc>
          <w:tcPr>
            <w:tcW w:w="1458" w:type="dxa"/>
            <w:vAlign w:val="center"/>
          </w:tcPr>
          <w:p w14:paraId="77EE33E8" w14:textId="77777777" w:rsidR="003D6CF3" w:rsidRPr="003D6CF3" w:rsidRDefault="003D6CF3" w:rsidP="000C713E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Early</w:t>
            </w:r>
          </w:p>
        </w:tc>
        <w:tc>
          <w:tcPr>
            <w:tcW w:w="0" w:type="auto"/>
            <w:vAlign w:val="center"/>
          </w:tcPr>
          <w:p w14:paraId="084A3E60" w14:textId="77777777" w:rsidR="003D6CF3" w:rsidRPr="003D6CF3" w:rsidRDefault="003D6CF3" w:rsidP="000C713E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value</w:t>
            </w:r>
          </w:p>
        </w:tc>
        <w:tc>
          <w:tcPr>
            <w:tcW w:w="0" w:type="auto"/>
            <w:vAlign w:val="center"/>
          </w:tcPr>
          <w:p w14:paraId="23479C5A" w14:textId="77777777" w:rsidR="003D6CF3" w:rsidRPr="003D6CF3" w:rsidRDefault="003D6CF3" w:rsidP="000C713E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 value</w:t>
            </w:r>
          </w:p>
        </w:tc>
        <w:tc>
          <w:tcPr>
            <w:tcW w:w="1056" w:type="dxa"/>
            <w:vAlign w:val="center"/>
          </w:tcPr>
          <w:p w14:paraId="0D45FA5F" w14:textId="77777777" w:rsidR="003D6CF3" w:rsidRPr="003D6CF3" w:rsidRDefault="003D6CF3" w:rsidP="000C713E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</w:tr>
      <w:tr w:rsidR="003D6CF3" w:rsidRPr="003D6CF3" w14:paraId="79DEB99E" w14:textId="77777777" w:rsidTr="008C6727">
        <w:trPr>
          <w:jc w:val="center"/>
        </w:trPr>
        <w:tc>
          <w:tcPr>
            <w:tcW w:w="0" w:type="auto"/>
            <w:vMerge w:val="restart"/>
          </w:tcPr>
          <w:p w14:paraId="0EE7995C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14 weeks</w:t>
            </w:r>
          </w:p>
        </w:tc>
        <w:tc>
          <w:tcPr>
            <w:tcW w:w="1798" w:type="dxa"/>
          </w:tcPr>
          <w:p w14:paraId="65F32A2C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Steroid-free clinical remission</w:t>
            </w:r>
          </w:p>
        </w:tc>
        <w:tc>
          <w:tcPr>
            <w:tcW w:w="1559" w:type="dxa"/>
          </w:tcPr>
          <w:p w14:paraId="3CA5CC53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70.2% (59/84)</w:t>
            </w:r>
          </w:p>
        </w:tc>
        <w:tc>
          <w:tcPr>
            <w:tcW w:w="1458" w:type="dxa"/>
          </w:tcPr>
          <w:p w14:paraId="3F9C6D09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80.0% (32/40)</w:t>
            </w:r>
          </w:p>
        </w:tc>
        <w:tc>
          <w:tcPr>
            <w:tcW w:w="0" w:type="auto"/>
          </w:tcPr>
          <w:p w14:paraId="6F0FC6C9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0.250</w:t>
            </w:r>
          </w:p>
        </w:tc>
        <w:tc>
          <w:tcPr>
            <w:tcW w:w="0" w:type="auto"/>
          </w:tcPr>
          <w:p w14:paraId="4B4A0907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</w:p>
        </w:tc>
        <w:tc>
          <w:tcPr>
            <w:tcW w:w="1056" w:type="dxa"/>
          </w:tcPr>
          <w:p w14:paraId="72491CB1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0.69-4.19</w:t>
            </w:r>
          </w:p>
        </w:tc>
      </w:tr>
      <w:tr w:rsidR="003D6CF3" w:rsidRPr="003D6CF3" w14:paraId="123B23AA" w14:textId="77777777" w:rsidTr="008C6727">
        <w:trPr>
          <w:jc w:val="center"/>
        </w:trPr>
        <w:tc>
          <w:tcPr>
            <w:tcW w:w="0" w:type="auto"/>
            <w:vMerge/>
          </w:tcPr>
          <w:p w14:paraId="7083E465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EDDFC97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Clinical remission</w:t>
            </w:r>
          </w:p>
        </w:tc>
        <w:tc>
          <w:tcPr>
            <w:tcW w:w="1559" w:type="dxa"/>
          </w:tcPr>
          <w:p w14:paraId="752FF71B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61.9% (52/84)</w:t>
            </w:r>
          </w:p>
        </w:tc>
        <w:tc>
          <w:tcPr>
            <w:tcW w:w="1458" w:type="dxa"/>
          </w:tcPr>
          <w:p w14:paraId="4C27C73C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67.5% (27/40)</w:t>
            </w:r>
          </w:p>
        </w:tc>
        <w:tc>
          <w:tcPr>
            <w:tcW w:w="0" w:type="auto"/>
          </w:tcPr>
          <w:p w14:paraId="2D132F86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0.545</w:t>
            </w:r>
          </w:p>
        </w:tc>
        <w:tc>
          <w:tcPr>
            <w:tcW w:w="0" w:type="auto"/>
          </w:tcPr>
          <w:p w14:paraId="541302A4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1056" w:type="dxa"/>
          </w:tcPr>
          <w:p w14:paraId="78593B0C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0.58-2.83</w:t>
            </w:r>
          </w:p>
        </w:tc>
      </w:tr>
      <w:tr w:rsidR="003D6CF3" w:rsidRPr="003D6CF3" w14:paraId="1BBCA6C3" w14:textId="77777777" w:rsidTr="008C6727">
        <w:trPr>
          <w:jc w:val="center"/>
        </w:trPr>
        <w:tc>
          <w:tcPr>
            <w:tcW w:w="0" w:type="auto"/>
            <w:vMerge/>
          </w:tcPr>
          <w:p w14:paraId="01D3DE3E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801ADD1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Mucosal healing</w:t>
            </w:r>
          </w:p>
        </w:tc>
        <w:tc>
          <w:tcPr>
            <w:tcW w:w="1559" w:type="dxa"/>
          </w:tcPr>
          <w:p w14:paraId="3375F4BC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15.5% (13/84)</w:t>
            </w:r>
          </w:p>
        </w:tc>
        <w:tc>
          <w:tcPr>
            <w:tcW w:w="1458" w:type="dxa"/>
          </w:tcPr>
          <w:p w14:paraId="4F3A978E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17.5% (7/40)</w:t>
            </w:r>
          </w:p>
        </w:tc>
        <w:tc>
          <w:tcPr>
            <w:tcW w:w="0" w:type="auto"/>
          </w:tcPr>
          <w:p w14:paraId="15D4F276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0.775</w:t>
            </w:r>
          </w:p>
        </w:tc>
        <w:tc>
          <w:tcPr>
            <w:tcW w:w="0" w:type="auto"/>
          </w:tcPr>
          <w:p w14:paraId="25666479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056" w:type="dxa"/>
          </w:tcPr>
          <w:p w14:paraId="642933FF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0.42-3.17</w:t>
            </w:r>
          </w:p>
        </w:tc>
      </w:tr>
      <w:tr w:rsidR="003D6CF3" w:rsidRPr="003D6CF3" w14:paraId="58E616E8" w14:textId="77777777" w:rsidTr="008C6727">
        <w:trPr>
          <w:jc w:val="center"/>
        </w:trPr>
        <w:tc>
          <w:tcPr>
            <w:tcW w:w="0" w:type="auto"/>
            <w:vMerge w:val="restart"/>
          </w:tcPr>
          <w:p w14:paraId="2F565A9C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52 weeks</w:t>
            </w:r>
          </w:p>
        </w:tc>
        <w:tc>
          <w:tcPr>
            <w:tcW w:w="1798" w:type="dxa"/>
          </w:tcPr>
          <w:p w14:paraId="1EDEEF5C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Steroid-free clinical remission</w:t>
            </w:r>
          </w:p>
        </w:tc>
        <w:tc>
          <w:tcPr>
            <w:tcW w:w="1559" w:type="dxa"/>
          </w:tcPr>
          <w:p w14:paraId="69916A58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77.1% (37/48)</w:t>
            </w:r>
          </w:p>
        </w:tc>
        <w:tc>
          <w:tcPr>
            <w:tcW w:w="1458" w:type="dxa"/>
          </w:tcPr>
          <w:p w14:paraId="0AA9AE94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93.8% (15/16)</w:t>
            </w:r>
          </w:p>
        </w:tc>
        <w:tc>
          <w:tcPr>
            <w:tcW w:w="0" w:type="auto"/>
          </w:tcPr>
          <w:p w14:paraId="2A9B19DE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0.267</w:t>
            </w:r>
          </w:p>
        </w:tc>
        <w:tc>
          <w:tcPr>
            <w:tcW w:w="0" w:type="auto"/>
          </w:tcPr>
          <w:p w14:paraId="1B3C12AC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4.46</w:t>
            </w:r>
          </w:p>
        </w:tc>
        <w:tc>
          <w:tcPr>
            <w:tcW w:w="1056" w:type="dxa"/>
          </w:tcPr>
          <w:p w14:paraId="6AA50CB9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0.53-37.65</w:t>
            </w:r>
          </w:p>
        </w:tc>
      </w:tr>
      <w:tr w:rsidR="003D6CF3" w:rsidRPr="003D6CF3" w14:paraId="0891D2EC" w14:textId="77777777" w:rsidTr="008C6727">
        <w:trPr>
          <w:jc w:val="center"/>
        </w:trPr>
        <w:tc>
          <w:tcPr>
            <w:tcW w:w="0" w:type="auto"/>
            <w:vMerge/>
          </w:tcPr>
          <w:p w14:paraId="0E09AC3C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4212721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Clinical remission</w:t>
            </w:r>
          </w:p>
        </w:tc>
        <w:tc>
          <w:tcPr>
            <w:tcW w:w="1559" w:type="dxa"/>
          </w:tcPr>
          <w:p w14:paraId="26E6F2B5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72.9% (35/48)</w:t>
            </w:r>
          </w:p>
        </w:tc>
        <w:tc>
          <w:tcPr>
            <w:tcW w:w="1458" w:type="dxa"/>
          </w:tcPr>
          <w:p w14:paraId="04F9DBCE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93.8% (15/16)</w:t>
            </w:r>
          </w:p>
        </w:tc>
        <w:tc>
          <w:tcPr>
            <w:tcW w:w="0" w:type="auto"/>
          </w:tcPr>
          <w:p w14:paraId="00721D58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0.163</w:t>
            </w:r>
          </w:p>
        </w:tc>
        <w:tc>
          <w:tcPr>
            <w:tcW w:w="0" w:type="auto"/>
          </w:tcPr>
          <w:p w14:paraId="34DC7297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5.57</w:t>
            </w:r>
          </w:p>
        </w:tc>
        <w:tc>
          <w:tcPr>
            <w:tcW w:w="1056" w:type="dxa"/>
          </w:tcPr>
          <w:p w14:paraId="0824D87C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0.67-46.51</w:t>
            </w:r>
          </w:p>
        </w:tc>
      </w:tr>
      <w:tr w:rsidR="003D6CF3" w:rsidRPr="00C5196D" w14:paraId="7977E1D0" w14:textId="77777777" w:rsidTr="008C6727">
        <w:trPr>
          <w:jc w:val="center"/>
        </w:trPr>
        <w:tc>
          <w:tcPr>
            <w:tcW w:w="0" w:type="auto"/>
            <w:vMerge/>
          </w:tcPr>
          <w:p w14:paraId="5D55569A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DE8303E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Mucosal healing</w:t>
            </w:r>
          </w:p>
        </w:tc>
        <w:tc>
          <w:tcPr>
            <w:tcW w:w="1559" w:type="dxa"/>
          </w:tcPr>
          <w:p w14:paraId="3F8F9809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47.9% (23/48)</w:t>
            </w:r>
          </w:p>
        </w:tc>
        <w:tc>
          <w:tcPr>
            <w:tcW w:w="1458" w:type="dxa"/>
          </w:tcPr>
          <w:p w14:paraId="02C85F20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56.3% (9/16)</w:t>
            </w:r>
          </w:p>
        </w:tc>
        <w:tc>
          <w:tcPr>
            <w:tcW w:w="0" w:type="auto"/>
          </w:tcPr>
          <w:p w14:paraId="5BF5F789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0.564</w:t>
            </w:r>
          </w:p>
        </w:tc>
        <w:tc>
          <w:tcPr>
            <w:tcW w:w="0" w:type="auto"/>
          </w:tcPr>
          <w:p w14:paraId="0626235C" w14:textId="77777777" w:rsidR="003D6CF3" w:rsidRPr="003D6CF3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1056" w:type="dxa"/>
          </w:tcPr>
          <w:p w14:paraId="002729B6" w14:textId="77777777" w:rsidR="003D6CF3" w:rsidRPr="00C5196D" w:rsidRDefault="003D6CF3" w:rsidP="008C67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3">
              <w:rPr>
                <w:rFonts w:ascii="Times New Roman" w:hAnsi="Times New Roman" w:cs="Times New Roman"/>
                <w:sz w:val="24"/>
                <w:szCs w:val="24"/>
              </w:rPr>
              <w:t>0.45-4.36</w:t>
            </w:r>
          </w:p>
        </w:tc>
      </w:tr>
    </w:tbl>
    <w:p w14:paraId="695468DE" w14:textId="77777777" w:rsidR="003D6CF3" w:rsidRDefault="003D6CF3">
      <w:pPr>
        <w:rPr>
          <w:rFonts w:hint="eastAsia"/>
        </w:rPr>
      </w:pPr>
    </w:p>
    <w:sectPr w:rsidR="003D6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1DB5" w14:textId="77777777" w:rsidR="008038A2" w:rsidRDefault="008038A2" w:rsidP="000C713E">
      <w:pPr>
        <w:rPr>
          <w:rFonts w:hint="eastAsia"/>
        </w:rPr>
      </w:pPr>
      <w:r>
        <w:separator/>
      </w:r>
    </w:p>
  </w:endnote>
  <w:endnote w:type="continuationSeparator" w:id="0">
    <w:p w14:paraId="044C44C2" w14:textId="77777777" w:rsidR="008038A2" w:rsidRDefault="008038A2" w:rsidP="000C71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5A57" w14:textId="77777777" w:rsidR="008038A2" w:rsidRDefault="008038A2" w:rsidP="000C713E">
      <w:pPr>
        <w:rPr>
          <w:rFonts w:hint="eastAsia"/>
        </w:rPr>
      </w:pPr>
      <w:r>
        <w:separator/>
      </w:r>
    </w:p>
  </w:footnote>
  <w:footnote w:type="continuationSeparator" w:id="0">
    <w:p w14:paraId="78D4ADE7" w14:textId="77777777" w:rsidR="008038A2" w:rsidRDefault="008038A2" w:rsidP="000C71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A0"/>
    <w:rsid w:val="000C713E"/>
    <w:rsid w:val="003D6CF3"/>
    <w:rsid w:val="004B4DA0"/>
    <w:rsid w:val="004C6EC9"/>
    <w:rsid w:val="007F3287"/>
    <w:rsid w:val="008038A2"/>
    <w:rsid w:val="00922E90"/>
    <w:rsid w:val="009E48E0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63B74"/>
  <w15:chartTrackingRefBased/>
  <w15:docId w15:val="{AFF25ED1-20ED-4BA4-8DE1-4D1EEE8A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DA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DA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D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D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D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DA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B4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D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D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D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DA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4B4DA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C71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C713E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C7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C71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3</cp:revision>
  <dcterms:created xsi:type="dcterms:W3CDTF">2025-12-22T07:12:00Z</dcterms:created>
  <dcterms:modified xsi:type="dcterms:W3CDTF">2025-12-22T15:01:00Z</dcterms:modified>
</cp:coreProperties>
</file>