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4AC13" w14:textId="7D0D80FD" w:rsidR="009E48E0" w:rsidRPr="003D6CF3" w:rsidRDefault="003D6CF3">
      <w:pPr>
        <w:rPr>
          <w:rFonts w:hint="eastAsia"/>
        </w:rPr>
      </w:pPr>
      <w:r w:rsidRPr="003D6CF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0C713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uppl </w:t>
      </w:r>
      <w:r w:rsidRPr="003D6CF3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3D6CF3">
        <w:rPr>
          <w:rFonts w:ascii="Times New Roman" w:hAnsi="Times New Roman" w:cs="Times New Roman"/>
          <w:sz w:val="24"/>
          <w:szCs w:val="24"/>
        </w:rPr>
        <w:t>Clinical efficacy of early and late biologic intervention at week 14 and 52</w:t>
      </w:r>
    </w:p>
    <w:tbl>
      <w:tblPr>
        <w:tblStyle w:val="ae"/>
        <w:tblW w:w="8359" w:type="dxa"/>
        <w:jc w:val="center"/>
        <w:tblLook w:val="04A0" w:firstRow="1" w:lastRow="0" w:firstColumn="1" w:lastColumn="0" w:noHBand="0" w:noVBand="1"/>
      </w:tblPr>
      <w:tblGrid>
        <w:gridCol w:w="864"/>
        <w:gridCol w:w="1798"/>
        <w:gridCol w:w="1559"/>
        <w:gridCol w:w="1458"/>
        <w:gridCol w:w="794"/>
        <w:gridCol w:w="830"/>
        <w:gridCol w:w="1056"/>
      </w:tblGrid>
      <w:tr w:rsidR="003D6CF3" w:rsidRPr="003D6CF3" w14:paraId="50A2C18A" w14:textId="77777777" w:rsidTr="000C713E">
        <w:trPr>
          <w:jc w:val="center"/>
        </w:trPr>
        <w:tc>
          <w:tcPr>
            <w:tcW w:w="0" w:type="auto"/>
            <w:vAlign w:val="center"/>
          </w:tcPr>
          <w:p w14:paraId="1AC9FEC3" w14:textId="77777777" w:rsidR="003D6CF3" w:rsidRPr="003D6CF3" w:rsidRDefault="003D6CF3" w:rsidP="000C713E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6C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1798" w:type="dxa"/>
            <w:vAlign w:val="center"/>
          </w:tcPr>
          <w:p w14:paraId="523F3204" w14:textId="77777777" w:rsidR="003D6CF3" w:rsidRPr="003D6CF3" w:rsidRDefault="003D6CF3" w:rsidP="000C713E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D6E9F9D" w14:textId="77777777" w:rsidR="003D6CF3" w:rsidRPr="003D6CF3" w:rsidRDefault="003D6CF3" w:rsidP="000C713E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6C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Late</w:t>
            </w:r>
          </w:p>
        </w:tc>
        <w:tc>
          <w:tcPr>
            <w:tcW w:w="1458" w:type="dxa"/>
            <w:vAlign w:val="center"/>
          </w:tcPr>
          <w:p w14:paraId="77EE33E8" w14:textId="77777777" w:rsidR="003D6CF3" w:rsidRPr="003D6CF3" w:rsidRDefault="003D6CF3" w:rsidP="000C713E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6C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Early</w:t>
            </w:r>
          </w:p>
        </w:tc>
        <w:tc>
          <w:tcPr>
            <w:tcW w:w="0" w:type="auto"/>
            <w:vAlign w:val="center"/>
          </w:tcPr>
          <w:p w14:paraId="084A3E60" w14:textId="77777777" w:rsidR="003D6CF3" w:rsidRPr="003D6CF3" w:rsidRDefault="003D6CF3" w:rsidP="000C713E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6C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  <w:tc>
          <w:tcPr>
            <w:tcW w:w="0" w:type="auto"/>
            <w:vAlign w:val="center"/>
          </w:tcPr>
          <w:p w14:paraId="23479C5A" w14:textId="77777777" w:rsidR="003D6CF3" w:rsidRPr="003D6CF3" w:rsidRDefault="003D6CF3" w:rsidP="000C713E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6C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 value</w:t>
            </w:r>
          </w:p>
        </w:tc>
        <w:tc>
          <w:tcPr>
            <w:tcW w:w="1056" w:type="dxa"/>
            <w:vAlign w:val="center"/>
          </w:tcPr>
          <w:p w14:paraId="0D45FA5F" w14:textId="77777777" w:rsidR="003D6CF3" w:rsidRPr="003D6CF3" w:rsidRDefault="003D6CF3" w:rsidP="000C713E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6C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</w:tr>
      <w:tr w:rsidR="003D6CF3" w:rsidRPr="003D6CF3" w14:paraId="79DEB99E" w14:textId="77777777" w:rsidTr="008C6727">
        <w:trPr>
          <w:jc w:val="center"/>
        </w:trPr>
        <w:tc>
          <w:tcPr>
            <w:tcW w:w="0" w:type="auto"/>
            <w:vMerge w:val="restart"/>
          </w:tcPr>
          <w:p w14:paraId="0EE7995C" w14:textId="77777777" w:rsidR="003D6CF3" w:rsidRPr="003D6CF3" w:rsidRDefault="003D6CF3" w:rsidP="008C672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3">
              <w:rPr>
                <w:rFonts w:ascii="Times New Roman" w:hAnsi="Times New Roman" w:cs="Times New Roman"/>
                <w:sz w:val="24"/>
                <w:szCs w:val="24"/>
              </w:rPr>
              <w:t>14 weeks</w:t>
            </w:r>
          </w:p>
        </w:tc>
        <w:tc>
          <w:tcPr>
            <w:tcW w:w="1798" w:type="dxa"/>
          </w:tcPr>
          <w:p w14:paraId="65F32A2C" w14:textId="77777777" w:rsidR="003D6CF3" w:rsidRPr="003D6CF3" w:rsidRDefault="003D6CF3" w:rsidP="008C672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3">
              <w:rPr>
                <w:rFonts w:ascii="Times New Roman" w:hAnsi="Times New Roman" w:cs="Times New Roman"/>
                <w:sz w:val="24"/>
                <w:szCs w:val="24"/>
              </w:rPr>
              <w:t>Steroid-free clinical remission</w:t>
            </w:r>
          </w:p>
        </w:tc>
        <w:tc>
          <w:tcPr>
            <w:tcW w:w="1559" w:type="dxa"/>
          </w:tcPr>
          <w:p w14:paraId="3CA5CC53" w14:textId="77777777" w:rsidR="003D6CF3" w:rsidRPr="003D6CF3" w:rsidRDefault="003D6CF3" w:rsidP="008C672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3">
              <w:rPr>
                <w:rFonts w:ascii="Times New Roman" w:hAnsi="Times New Roman" w:cs="Times New Roman"/>
                <w:sz w:val="24"/>
                <w:szCs w:val="24"/>
              </w:rPr>
              <w:t>70.2% (59/84)</w:t>
            </w:r>
          </w:p>
        </w:tc>
        <w:tc>
          <w:tcPr>
            <w:tcW w:w="1458" w:type="dxa"/>
          </w:tcPr>
          <w:p w14:paraId="3F9C6D09" w14:textId="77777777" w:rsidR="003D6CF3" w:rsidRPr="003D6CF3" w:rsidRDefault="003D6CF3" w:rsidP="008C672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3">
              <w:rPr>
                <w:rFonts w:ascii="Times New Roman" w:hAnsi="Times New Roman" w:cs="Times New Roman"/>
                <w:sz w:val="24"/>
                <w:szCs w:val="24"/>
              </w:rPr>
              <w:t>80.0% (32/40)</w:t>
            </w:r>
          </w:p>
        </w:tc>
        <w:tc>
          <w:tcPr>
            <w:tcW w:w="0" w:type="auto"/>
          </w:tcPr>
          <w:p w14:paraId="6F0FC6C9" w14:textId="77777777" w:rsidR="003D6CF3" w:rsidRPr="003D6CF3" w:rsidRDefault="003D6CF3" w:rsidP="008C672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3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0" w:type="auto"/>
          </w:tcPr>
          <w:p w14:paraId="4B4A0907" w14:textId="77777777" w:rsidR="003D6CF3" w:rsidRPr="003D6CF3" w:rsidRDefault="003D6CF3" w:rsidP="008C672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3">
              <w:rPr>
                <w:rFonts w:ascii="Times New Roman" w:hAnsi="Times New Roman" w:cs="Times New Roman"/>
                <w:sz w:val="24"/>
                <w:szCs w:val="24"/>
              </w:rPr>
              <w:t>1.70</w:t>
            </w:r>
          </w:p>
        </w:tc>
        <w:tc>
          <w:tcPr>
            <w:tcW w:w="1056" w:type="dxa"/>
          </w:tcPr>
          <w:p w14:paraId="72491CB1" w14:textId="77777777" w:rsidR="003D6CF3" w:rsidRPr="003D6CF3" w:rsidRDefault="003D6CF3" w:rsidP="008C672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3">
              <w:rPr>
                <w:rFonts w:ascii="Times New Roman" w:hAnsi="Times New Roman" w:cs="Times New Roman"/>
                <w:sz w:val="24"/>
                <w:szCs w:val="24"/>
              </w:rPr>
              <w:t>0.69-4.19</w:t>
            </w:r>
          </w:p>
        </w:tc>
      </w:tr>
      <w:tr w:rsidR="003D6CF3" w:rsidRPr="003D6CF3" w14:paraId="123B23AA" w14:textId="77777777" w:rsidTr="008C6727">
        <w:trPr>
          <w:jc w:val="center"/>
        </w:trPr>
        <w:tc>
          <w:tcPr>
            <w:tcW w:w="0" w:type="auto"/>
            <w:vMerge/>
          </w:tcPr>
          <w:p w14:paraId="7083E465" w14:textId="77777777" w:rsidR="003D6CF3" w:rsidRPr="003D6CF3" w:rsidRDefault="003D6CF3" w:rsidP="008C672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EDDFC97" w14:textId="77777777" w:rsidR="003D6CF3" w:rsidRPr="003D6CF3" w:rsidRDefault="003D6CF3" w:rsidP="008C672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3">
              <w:rPr>
                <w:rFonts w:ascii="Times New Roman" w:hAnsi="Times New Roman" w:cs="Times New Roman"/>
                <w:sz w:val="24"/>
                <w:szCs w:val="24"/>
              </w:rPr>
              <w:t>Clinical remission</w:t>
            </w:r>
          </w:p>
        </w:tc>
        <w:tc>
          <w:tcPr>
            <w:tcW w:w="1559" w:type="dxa"/>
          </w:tcPr>
          <w:p w14:paraId="752FF71B" w14:textId="77777777" w:rsidR="003D6CF3" w:rsidRPr="003D6CF3" w:rsidRDefault="003D6CF3" w:rsidP="008C672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3">
              <w:rPr>
                <w:rFonts w:ascii="Times New Roman" w:hAnsi="Times New Roman" w:cs="Times New Roman"/>
                <w:sz w:val="24"/>
                <w:szCs w:val="24"/>
              </w:rPr>
              <w:t>61.9% (52/84)</w:t>
            </w:r>
          </w:p>
        </w:tc>
        <w:tc>
          <w:tcPr>
            <w:tcW w:w="1458" w:type="dxa"/>
          </w:tcPr>
          <w:p w14:paraId="4C27C73C" w14:textId="77777777" w:rsidR="003D6CF3" w:rsidRPr="003D6CF3" w:rsidRDefault="003D6CF3" w:rsidP="008C672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3">
              <w:rPr>
                <w:rFonts w:ascii="Times New Roman" w:hAnsi="Times New Roman" w:cs="Times New Roman"/>
                <w:sz w:val="24"/>
                <w:szCs w:val="24"/>
              </w:rPr>
              <w:t>67.5% (27/40)</w:t>
            </w:r>
          </w:p>
        </w:tc>
        <w:tc>
          <w:tcPr>
            <w:tcW w:w="0" w:type="auto"/>
          </w:tcPr>
          <w:p w14:paraId="2D132F86" w14:textId="77777777" w:rsidR="003D6CF3" w:rsidRPr="003D6CF3" w:rsidRDefault="003D6CF3" w:rsidP="008C672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3">
              <w:rPr>
                <w:rFonts w:ascii="Times New Roman" w:hAnsi="Times New Roman" w:cs="Times New Roman"/>
                <w:sz w:val="24"/>
                <w:szCs w:val="24"/>
              </w:rPr>
              <w:t>0.545</w:t>
            </w:r>
          </w:p>
        </w:tc>
        <w:tc>
          <w:tcPr>
            <w:tcW w:w="0" w:type="auto"/>
          </w:tcPr>
          <w:p w14:paraId="541302A4" w14:textId="77777777" w:rsidR="003D6CF3" w:rsidRPr="003D6CF3" w:rsidRDefault="003D6CF3" w:rsidP="008C672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3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1056" w:type="dxa"/>
          </w:tcPr>
          <w:p w14:paraId="78593B0C" w14:textId="77777777" w:rsidR="003D6CF3" w:rsidRPr="003D6CF3" w:rsidRDefault="003D6CF3" w:rsidP="008C672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3">
              <w:rPr>
                <w:rFonts w:ascii="Times New Roman" w:hAnsi="Times New Roman" w:cs="Times New Roman"/>
                <w:sz w:val="24"/>
                <w:szCs w:val="24"/>
              </w:rPr>
              <w:t>0.58-2.83</w:t>
            </w:r>
          </w:p>
        </w:tc>
      </w:tr>
      <w:tr w:rsidR="003D6CF3" w:rsidRPr="003D6CF3" w14:paraId="1BBCA6C3" w14:textId="77777777" w:rsidTr="008C6727">
        <w:trPr>
          <w:jc w:val="center"/>
        </w:trPr>
        <w:tc>
          <w:tcPr>
            <w:tcW w:w="0" w:type="auto"/>
            <w:vMerge/>
          </w:tcPr>
          <w:p w14:paraId="01D3DE3E" w14:textId="77777777" w:rsidR="003D6CF3" w:rsidRPr="003D6CF3" w:rsidRDefault="003D6CF3" w:rsidP="008C672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801ADD1" w14:textId="77777777" w:rsidR="003D6CF3" w:rsidRPr="003D6CF3" w:rsidRDefault="003D6CF3" w:rsidP="008C672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3">
              <w:rPr>
                <w:rFonts w:ascii="Times New Roman" w:hAnsi="Times New Roman" w:cs="Times New Roman"/>
                <w:sz w:val="24"/>
                <w:szCs w:val="24"/>
              </w:rPr>
              <w:t>Mucosal healing</w:t>
            </w:r>
          </w:p>
        </w:tc>
        <w:tc>
          <w:tcPr>
            <w:tcW w:w="1559" w:type="dxa"/>
          </w:tcPr>
          <w:p w14:paraId="3375F4BC" w14:textId="77777777" w:rsidR="003D6CF3" w:rsidRPr="003D6CF3" w:rsidRDefault="003D6CF3" w:rsidP="008C672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3">
              <w:rPr>
                <w:rFonts w:ascii="Times New Roman" w:hAnsi="Times New Roman" w:cs="Times New Roman"/>
                <w:sz w:val="24"/>
                <w:szCs w:val="24"/>
              </w:rPr>
              <w:t>15.5% (13/84)</w:t>
            </w:r>
          </w:p>
        </w:tc>
        <w:tc>
          <w:tcPr>
            <w:tcW w:w="1458" w:type="dxa"/>
          </w:tcPr>
          <w:p w14:paraId="4F3A978E" w14:textId="77777777" w:rsidR="003D6CF3" w:rsidRPr="003D6CF3" w:rsidRDefault="003D6CF3" w:rsidP="008C672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3">
              <w:rPr>
                <w:rFonts w:ascii="Times New Roman" w:hAnsi="Times New Roman" w:cs="Times New Roman"/>
                <w:sz w:val="24"/>
                <w:szCs w:val="24"/>
              </w:rPr>
              <w:t>17.5% (7/40)</w:t>
            </w:r>
          </w:p>
        </w:tc>
        <w:tc>
          <w:tcPr>
            <w:tcW w:w="0" w:type="auto"/>
          </w:tcPr>
          <w:p w14:paraId="15D4F276" w14:textId="77777777" w:rsidR="003D6CF3" w:rsidRPr="003D6CF3" w:rsidRDefault="003D6CF3" w:rsidP="008C672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3">
              <w:rPr>
                <w:rFonts w:ascii="Times New Roman" w:hAnsi="Times New Roman" w:cs="Times New Roman"/>
                <w:sz w:val="24"/>
                <w:szCs w:val="24"/>
              </w:rPr>
              <w:t>0.775</w:t>
            </w:r>
          </w:p>
        </w:tc>
        <w:tc>
          <w:tcPr>
            <w:tcW w:w="0" w:type="auto"/>
          </w:tcPr>
          <w:p w14:paraId="25666479" w14:textId="77777777" w:rsidR="003D6CF3" w:rsidRPr="003D6CF3" w:rsidRDefault="003D6CF3" w:rsidP="008C672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3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1056" w:type="dxa"/>
          </w:tcPr>
          <w:p w14:paraId="642933FF" w14:textId="77777777" w:rsidR="003D6CF3" w:rsidRPr="003D6CF3" w:rsidRDefault="003D6CF3" w:rsidP="008C672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3">
              <w:rPr>
                <w:rFonts w:ascii="Times New Roman" w:hAnsi="Times New Roman" w:cs="Times New Roman"/>
                <w:sz w:val="24"/>
                <w:szCs w:val="24"/>
              </w:rPr>
              <w:t>0.42-3.17</w:t>
            </w:r>
          </w:p>
        </w:tc>
      </w:tr>
      <w:tr w:rsidR="003D6CF3" w:rsidRPr="003D6CF3" w14:paraId="58E616E8" w14:textId="77777777" w:rsidTr="008C6727">
        <w:trPr>
          <w:jc w:val="center"/>
        </w:trPr>
        <w:tc>
          <w:tcPr>
            <w:tcW w:w="0" w:type="auto"/>
            <w:vMerge w:val="restart"/>
          </w:tcPr>
          <w:p w14:paraId="2F565A9C" w14:textId="77777777" w:rsidR="003D6CF3" w:rsidRPr="003D6CF3" w:rsidRDefault="003D6CF3" w:rsidP="008C672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3">
              <w:rPr>
                <w:rFonts w:ascii="Times New Roman" w:hAnsi="Times New Roman" w:cs="Times New Roman"/>
                <w:sz w:val="24"/>
                <w:szCs w:val="24"/>
              </w:rPr>
              <w:t>52 weeks</w:t>
            </w:r>
          </w:p>
        </w:tc>
        <w:tc>
          <w:tcPr>
            <w:tcW w:w="1798" w:type="dxa"/>
          </w:tcPr>
          <w:p w14:paraId="1EDEEF5C" w14:textId="77777777" w:rsidR="003D6CF3" w:rsidRPr="003D6CF3" w:rsidRDefault="003D6CF3" w:rsidP="008C672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3">
              <w:rPr>
                <w:rFonts w:ascii="Times New Roman" w:hAnsi="Times New Roman" w:cs="Times New Roman"/>
                <w:sz w:val="24"/>
                <w:szCs w:val="24"/>
              </w:rPr>
              <w:t>Steroid-free clinical remission</w:t>
            </w:r>
          </w:p>
        </w:tc>
        <w:tc>
          <w:tcPr>
            <w:tcW w:w="1559" w:type="dxa"/>
          </w:tcPr>
          <w:p w14:paraId="69916A58" w14:textId="77777777" w:rsidR="003D6CF3" w:rsidRPr="003D6CF3" w:rsidRDefault="003D6CF3" w:rsidP="008C672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3">
              <w:rPr>
                <w:rFonts w:ascii="Times New Roman" w:hAnsi="Times New Roman" w:cs="Times New Roman"/>
                <w:sz w:val="24"/>
                <w:szCs w:val="24"/>
              </w:rPr>
              <w:t>77.1% (37/48)</w:t>
            </w:r>
          </w:p>
        </w:tc>
        <w:tc>
          <w:tcPr>
            <w:tcW w:w="1458" w:type="dxa"/>
          </w:tcPr>
          <w:p w14:paraId="0AA9AE94" w14:textId="77777777" w:rsidR="003D6CF3" w:rsidRPr="003D6CF3" w:rsidRDefault="003D6CF3" w:rsidP="008C672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3">
              <w:rPr>
                <w:rFonts w:ascii="Times New Roman" w:hAnsi="Times New Roman" w:cs="Times New Roman"/>
                <w:sz w:val="24"/>
                <w:szCs w:val="24"/>
              </w:rPr>
              <w:t>93.8% (15/16)</w:t>
            </w:r>
          </w:p>
        </w:tc>
        <w:tc>
          <w:tcPr>
            <w:tcW w:w="0" w:type="auto"/>
          </w:tcPr>
          <w:p w14:paraId="2A9B19DE" w14:textId="77777777" w:rsidR="003D6CF3" w:rsidRPr="003D6CF3" w:rsidRDefault="003D6CF3" w:rsidP="008C672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3">
              <w:rPr>
                <w:rFonts w:ascii="Times New Roman" w:hAnsi="Times New Roman" w:cs="Times New Roman"/>
                <w:sz w:val="24"/>
                <w:szCs w:val="24"/>
              </w:rPr>
              <w:t>0.267</w:t>
            </w:r>
          </w:p>
        </w:tc>
        <w:tc>
          <w:tcPr>
            <w:tcW w:w="0" w:type="auto"/>
          </w:tcPr>
          <w:p w14:paraId="1B3C12AC" w14:textId="77777777" w:rsidR="003D6CF3" w:rsidRPr="003D6CF3" w:rsidRDefault="003D6CF3" w:rsidP="008C672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3">
              <w:rPr>
                <w:rFonts w:ascii="Times New Roman" w:hAnsi="Times New Roman" w:cs="Times New Roman"/>
                <w:sz w:val="24"/>
                <w:szCs w:val="24"/>
              </w:rPr>
              <w:t>4.46</w:t>
            </w:r>
          </w:p>
        </w:tc>
        <w:tc>
          <w:tcPr>
            <w:tcW w:w="1056" w:type="dxa"/>
          </w:tcPr>
          <w:p w14:paraId="6AA50CB9" w14:textId="77777777" w:rsidR="003D6CF3" w:rsidRPr="003D6CF3" w:rsidRDefault="003D6CF3" w:rsidP="008C672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3">
              <w:rPr>
                <w:rFonts w:ascii="Times New Roman" w:hAnsi="Times New Roman" w:cs="Times New Roman"/>
                <w:sz w:val="24"/>
                <w:szCs w:val="24"/>
              </w:rPr>
              <w:t>0.53-37.65</w:t>
            </w:r>
          </w:p>
        </w:tc>
      </w:tr>
      <w:tr w:rsidR="003D6CF3" w:rsidRPr="003D6CF3" w14:paraId="0891D2EC" w14:textId="77777777" w:rsidTr="008C6727">
        <w:trPr>
          <w:jc w:val="center"/>
        </w:trPr>
        <w:tc>
          <w:tcPr>
            <w:tcW w:w="0" w:type="auto"/>
            <w:vMerge/>
          </w:tcPr>
          <w:p w14:paraId="0E09AC3C" w14:textId="77777777" w:rsidR="003D6CF3" w:rsidRPr="003D6CF3" w:rsidRDefault="003D6CF3" w:rsidP="008C672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24212721" w14:textId="77777777" w:rsidR="003D6CF3" w:rsidRPr="003D6CF3" w:rsidRDefault="003D6CF3" w:rsidP="008C672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3">
              <w:rPr>
                <w:rFonts w:ascii="Times New Roman" w:hAnsi="Times New Roman" w:cs="Times New Roman"/>
                <w:sz w:val="24"/>
                <w:szCs w:val="24"/>
              </w:rPr>
              <w:t>Clinical remission</w:t>
            </w:r>
          </w:p>
        </w:tc>
        <w:tc>
          <w:tcPr>
            <w:tcW w:w="1559" w:type="dxa"/>
          </w:tcPr>
          <w:p w14:paraId="26E6F2B5" w14:textId="77777777" w:rsidR="003D6CF3" w:rsidRPr="003D6CF3" w:rsidRDefault="003D6CF3" w:rsidP="008C672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3">
              <w:rPr>
                <w:rFonts w:ascii="Times New Roman" w:hAnsi="Times New Roman" w:cs="Times New Roman"/>
                <w:sz w:val="24"/>
                <w:szCs w:val="24"/>
              </w:rPr>
              <w:t>72.9% (35/48)</w:t>
            </w:r>
          </w:p>
        </w:tc>
        <w:tc>
          <w:tcPr>
            <w:tcW w:w="1458" w:type="dxa"/>
          </w:tcPr>
          <w:p w14:paraId="04F9DBCE" w14:textId="77777777" w:rsidR="003D6CF3" w:rsidRPr="003D6CF3" w:rsidRDefault="003D6CF3" w:rsidP="008C672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3">
              <w:rPr>
                <w:rFonts w:ascii="Times New Roman" w:hAnsi="Times New Roman" w:cs="Times New Roman"/>
                <w:sz w:val="24"/>
                <w:szCs w:val="24"/>
              </w:rPr>
              <w:t>93.8% (15/16)</w:t>
            </w:r>
          </w:p>
        </w:tc>
        <w:tc>
          <w:tcPr>
            <w:tcW w:w="0" w:type="auto"/>
          </w:tcPr>
          <w:p w14:paraId="00721D58" w14:textId="77777777" w:rsidR="003D6CF3" w:rsidRPr="003D6CF3" w:rsidRDefault="003D6CF3" w:rsidP="008C672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3">
              <w:rPr>
                <w:rFonts w:ascii="Times New Roman" w:hAnsi="Times New Roman" w:cs="Times New Roman"/>
                <w:sz w:val="24"/>
                <w:szCs w:val="24"/>
              </w:rPr>
              <w:t>0.163</w:t>
            </w:r>
          </w:p>
        </w:tc>
        <w:tc>
          <w:tcPr>
            <w:tcW w:w="0" w:type="auto"/>
          </w:tcPr>
          <w:p w14:paraId="34DC7297" w14:textId="77777777" w:rsidR="003D6CF3" w:rsidRPr="003D6CF3" w:rsidRDefault="003D6CF3" w:rsidP="008C672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3">
              <w:rPr>
                <w:rFonts w:ascii="Times New Roman" w:hAnsi="Times New Roman" w:cs="Times New Roman"/>
                <w:sz w:val="24"/>
                <w:szCs w:val="24"/>
              </w:rPr>
              <w:t>5.57</w:t>
            </w:r>
          </w:p>
        </w:tc>
        <w:tc>
          <w:tcPr>
            <w:tcW w:w="1056" w:type="dxa"/>
          </w:tcPr>
          <w:p w14:paraId="0824D87C" w14:textId="77777777" w:rsidR="003D6CF3" w:rsidRPr="003D6CF3" w:rsidRDefault="003D6CF3" w:rsidP="008C672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3">
              <w:rPr>
                <w:rFonts w:ascii="Times New Roman" w:hAnsi="Times New Roman" w:cs="Times New Roman"/>
                <w:sz w:val="24"/>
                <w:szCs w:val="24"/>
              </w:rPr>
              <w:t>0.67-46.51</w:t>
            </w:r>
          </w:p>
        </w:tc>
      </w:tr>
      <w:tr w:rsidR="003D6CF3" w:rsidRPr="00C5196D" w14:paraId="7977E1D0" w14:textId="77777777" w:rsidTr="008C6727">
        <w:trPr>
          <w:jc w:val="center"/>
        </w:trPr>
        <w:tc>
          <w:tcPr>
            <w:tcW w:w="0" w:type="auto"/>
            <w:vMerge/>
          </w:tcPr>
          <w:p w14:paraId="5D55569A" w14:textId="77777777" w:rsidR="003D6CF3" w:rsidRPr="003D6CF3" w:rsidRDefault="003D6CF3" w:rsidP="008C672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2DE8303E" w14:textId="77777777" w:rsidR="003D6CF3" w:rsidRPr="003D6CF3" w:rsidRDefault="003D6CF3" w:rsidP="008C672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3">
              <w:rPr>
                <w:rFonts w:ascii="Times New Roman" w:hAnsi="Times New Roman" w:cs="Times New Roman"/>
                <w:sz w:val="24"/>
                <w:szCs w:val="24"/>
              </w:rPr>
              <w:t>Mucosal healing</w:t>
            </w:r>
          </w:p>
        </w:tc>
        <w:tc>
          <w:tcPr>
            <w:tcW w:w="1559" w:type="dxa"/>
          </w:tcPr>
          <w:p w14:paraId="3F8F9809" w14:textId="77777777" w:rsidR="003D6CF3" w:rsidRPr="003D6CF3" w:rsidRDefault="003D6CF3" w:rsidP="008C672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3">
              <w:rPr>
                <w:rFonts w:ascii="Times New Roman" w:hAnsi="Times New Roman" w:cs="Times New Roman"/>
                <w:sz w:val="24"/>
                <w:szCs w:val="24"/>
              </w:rPr>
              <w:t>47.9% (23/48)</w:t>
            </w:r>
          </w:p>
        </w:tc>
        <w:tc>
          <w:tcPr>
            <w:tcW w:w="1458" w:type="dxa"/>
          </w:tcPr>
          <w:p w14:paraId="02C85F20" w14:textId="77777777" w:rsidR="003D6CF3" w:rsidRPr="003D6CF3" w:rsidRDefault="003D6CF3" w:rsidP="008C672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3">
              <w:rPr>
                <w:rFonts w:ascii="Times New Roman" w:hAnsi="Times New Roman" w:cs="Times New Roman"/>
                <w:sz w:val="24"/>
                <w:szCs w:val="24"/>
              </w:rPr>
              <w:t>56.3% (9/16)</w:t>
            </w:r>
          </w:p>
        </w:tc>
        <w:tc>
          <w:tcPr>
            <w:tcW w:w="0" w:type="auto"/>
          </w:tcPr>
          <w:p w14:paraId="5BF5F789" w14:textId="77777777" w:rsidR="003D6CF3" w:rsidRPr="003D6CF3" w:rsidRDefault="003D6CF3" w:rsidP="008C672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3">
              <w:rPr>
                <w:rFonts w:ascii="Times New Roman" w:hAnsi="Times New Roman" w:cs="Times New Roman"/>
                <w:sz w:val="24"/>
                <w:szCs w:val="24"/>
              </w:rPr>
              <w:t>0.564</w:t>
            </w:r>
          </w:p>
        </w:tc>
        <w:tc>
          <w:tcPr>
            <w:tcW w:w="0" w:type="auto"/>
          </w:tcPr>
          <w:p w14:paraId="0626235C" w14:textId="77777777" w:rsidR="003D6CF3" w:rsidRPr="003D6CF3" w:rsidRDefault="003D6CF3" w:rsidP="008C672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3">
              <w:rPr>
                <w:rFonts w:ascii="Times New Roman" w:hAnsi="Times New Roman" w:cs="Times New Roman"/>
                <w:sz w:val="24"/>
                <w:szCs w:val="24"/>
              </w:rPr>
              <w:t>1.40</w:t>
            </w:r>
          </w:p>
        </w:tc>
        <w:tc>
          <w:tcPr>
            <w:tcW w:w="1056" w:type="dxa"/>
          </w:tcPr>
          <w:p w14:paraId="002729B6" w14:textId="77777777" w:rsidR="003D6CF3" w:rsidRPr="00C5196D" w:rsidRDefault="003D6CF3" w:rsidP="008C6727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3">
              <w:rPr>
                <w:rFonts w:ascii="Times New Roman" w:hAnsi="Times New Roman" w:cs="Times New Roman"/>
                <w:sz w:val="24"/>
                <w:szCs w:val="24"/>
              </w:rPr>
              <w:t>0.45-4.36</w:t>
            </w:r>
          </w:p>
        </w:tc>
      </w:tr>
    </w:tbl>
    <w:p w14:paraId="695468DE" w14:textId="77777777" w:rsidR="003D6CF3" w:rsidRDefault="003D6CF3">
      <w:pPr>
        <w:rPr>
          <w:rFonts w:hint="eastAsia"/>
        </w:rPr>
      </w:pPr>
    </w:p>
    <w:sectPr w:rsidR="003D6C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11DB5" w14:textId="77777777" w:rsidR="008038A2" w:rsidRDefault="008038A2" w:rsidP="000C713E">
      <w:pPr>
        <w:rPr>
          <w:rFonts w:hint="eastAsia"/>
        </w:rPr>
      </w:pPr>
      <w:r>
        <w:separator/>
      </w:r>
    </w:p>
  </w:endnote>
  <w:endnote w:type="continuationSeparator" w:id="0">
    <w:p w14:paraId="044C44C2" w14:textId="77777777" w:rsidR="008038A2" w:rsidRDefault="008038A2" w:rsidP="000C713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65A57" w14:textId="77777777" w:rsidR="008038A2" w:rsidRDefault="008038A2" w:rsidP="000C713E">
      <w:pPr>
        <w:rPr>
          <w:rFonts w:hint="eastAsia"/>
        </w:rPr>
      </w:pPr>
      <w:r>
        <w:separator/>
      </w:r>
    </w:p>
  </w:footnote>
  <w:footnote w:type="continuationSeparator" w:id="0">
    <w:p w14:paraId="78D4ADE7" w14:textId="77777777" w:rsidR="008038A2" w:rsidRDefault="008038A2" w:rsidP="000C713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A0"/>
    <w:rsid w:val="000C713E"/>
    <w:rsid w:val="003D6CF3"/>
    <w:rsid w:val="004B4DA0"/>
    <w:rsid w:val="004C6EC9"/>
    <w:rsid w:val="007F3287"/>
    <w:rsid w:val="008038A2"/>
    <w:rsid w:val="00922E90"/>
    <w:rsid w:val="009E48E0"/>
    <w:rsid w:val="00D673D8"/>
    <w:rsid w:val="00D976D7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363B74"/>
  <w15:chartTrackingRefBased/>
  <w15:docId w15:val="{AFF25ED1-20ED-4BA4-8DE1-4D1EEE8A8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DA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4DA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4D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4DA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4DA0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4DA0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4DA0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4DA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4DA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4DA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4DA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B4D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B4D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B4DA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B4DA0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B4DA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B4DA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B4DA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B4DA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B4DA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B4D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4DA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B4DA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4D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B4D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4DA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B4DA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B4D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B4DA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B4DA0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qFormat/>
    <w:rsid w:val="004B4DA0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0C713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0C713E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0C71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0C71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3</cp:revision>
  <dcterms:created xsi:type="dcterms:W3CDTF">2025-12-22T07:12:00Z</dcterms:created>
  <dcterms:modified xsi:type="dcterms:W3CDTF">2025-12-22T15:01:00Z</dcterms:modified>
</cp:coreProperties>
</file>