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618B" w14:textId="4305DFE7" w:rsidR="00514BE7" w:rsidRPr="00BD6C8F" w:rsidRDefault="00514BE7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</w:pPr>
      <w:r w:rsidRPr="00265C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Suppl 1. </w:t>
      </w:r>
      <w:r w:rsidRPr="00265C67">
        <w:rPr>
          <w:rFonts w:ascii="Times New Roman" w:eastAsia="Calibri" w:hAnsi="Times New Roman" w:cs="Times New Roman"/>
          <w:sz w:val="20"/>
          <w:szCs w:val="20"/>
        </w:rPr>
        <w:t xml:space="preserve">Full </w:t>
      </w:r>
      <w:r w:rsidR="00265C67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s</w:t>
      </w:r>
      <w:r w:rsidRPr="00265C67">
        <w:rPr>
          <w:rFonts w:ascii="Times New Roman" w:eastAsia="Calibri" w:hAnsi="Times New Roman" w:cs="Times New Roman"/>
          <w:sz w:val="20"/>
          <w:szCs w:val="20"/>
        </w:rPr>
        <w:t xml:space="preserve">earch </w:t>
      </w:r>
      <w:r w:rsidR="00265C67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s</w:t>
      </w:r>
      <w:r w:rsidRPr="00265C67">
        <w:rPr>
          <w:rFonts w:ascii="Times New Roman" w:eastAsia="Calibri" w:hAnsi="Times New Roman" w:cs="Times New Roman"/>
          <w:sz w:val="20"/>
          <w:szCs w:val="20"/>
        </w:rPr>
        <w:t xml:space="preserve">trategies (all searched performed </w:t>
      </w:r>
      <w:r w:rsidR="00B33B96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 xml:space="preserve">on </w:t>
      </w:r>
      <w:r w:rsidRPr="00265C67">
        <w:rPr>
          <w:rFonts w:ascii="Times New Roman" w:eastAsia="Calibri" w:hAnsi="Times New Roman" w:cs="Times New Roman"/>
          <w:sz w:val="20"/>
          <w:szCs w:val="20"/>
        </w:rPr>
        <w:t xml:space="preserve">June </w:t>
      </w:r>
      <w:r w:rsidR="00B33B96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 xml:space="preserve">25, </w:t>
      </w:r>
      <w:r w:rsidRPr="00265C67">
        <w:rPr>
          <w:rFonts w:ascii="Times New Roman" w:eastAsia="Calibri" w:hAnsi="Times New Roman" w:cs="Times New Roman"/>
          <w:sz w:val="20"/>
          <w:szCs w:val="20"/>
        </w:rPr>
        <w:t>2024)</w:t>
      </w:r>
      <w:r w:rsidR="00BD6C8F"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  <w:t>.</w:t>
      </w:r>
    </w:p>
    <w:p w14:paraId="7FC8CB98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4B3E70CF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3E91D095" w14:textId="77777777" w:rsidR="00B25462" w:rsidRPr="00235C36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0A92B22B" w14:textId="2F265760" w:rsidR="00514BE7" w:rsidRPr="00265C67" w:rsidRDefault="00514BE7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zh-CN"/>
        </w:rPr>
      </w:pPr>
      <w:r w:rsidRPr="00265C67">
        <w:rPr>
          <w:rFonts w:ascii="Times New Roman" w:eastAsia="Calibri" w:hAnsi="Times New Roman" w:cs="Times New Roman"/>
          <w:b/>
          <w:bCs/>
          <w:sz w:val="20"/>
          <w:szCs w:val="20"/>
        </w:rPr>
        <w:t>Embase (Embase.com, Elsevier)</w:t>
      </w:r>
    </w:p>
    <w:tbl>
      <w:tblPr>
        <w:tblStyle w:val="Style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20"/>
        <w:gridCol w:w="6798"/>
        <w:gridCol w:w="972"/>
      </w:tblGrid>
      <w:tr w:rsidR="00514BE7" w:rsidRPr="00265C67" w14:paraId="4354235D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9D697" w14:textId="16463245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b/>
                <w:bCs/>
                <w:sz w:val="20"/>
              </w:rPr>
              <w:t>No.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36D3" w14:textId="1E0424B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b/>
                <w:bCs/>
                <w:sz w:val="20"/>
              </w:rPr>
              <w:t>Query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F991" w14:textId="68AED59F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b/>
                <w:bCs/>
                <w:sz w:val="20"/>
              </w:rPr>
              <w:t>Results</w:t>
            </w:r>
          </w:p>
        </w:tc>
      </w:tr>
      <w:tr w:rsidR="00514BE7" w:rsidRPr="00265C67" w14:paraId="29066DC5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D9203" w14:textId="1E033E0F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2DCC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'glucagon like peptide 1 receptor agonist'/syn OR 'tirzepatide'/syn OR 'albiglutide'/syn OR '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beinaglutide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'/syn OR 'exendin 4'/syn OR 'liraglutide'/syn OR 'lixisenatide'/syn OR 'semaglutide'/syn OR '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glp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1 agonist*' OR '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glp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1 receptor agonist*' OR 'glucagon like peptide 1 agonist*' OR 'glucagon like peptide 1 receptor stimulating agent*' OR 'glucagon like peptide 1 receptor agonist*' OR 'incretin mimetic*' OR 'long acting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glp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1 agonist*' OR 'long acting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glp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1 receptor agonist*' OR 'long acting glucagon like peptide 1 agonist*' OR 'long acting glucagon like peptide 1 receptor agonist*' OR tirzepatide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zepbound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albiglutide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beinaglutide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'exendin 4'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byetta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bydureon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liraglutide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victoza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saxenda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lixisenatide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lyxumia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adlyxin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semaglutide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ozempic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wegovy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rybelsus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A122" w14:textId="20013083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55461</w:t>
            </w:r>
          </w:p>
        </w:tc>
      </w:tr>
      <w:tr w:rsidR="00514BE7" w:rsidRPr="00265C67" w14:paraId="4E07906E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DEED" w14:textId="7D7099BD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#2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2B6D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'esophagogastroduodenoscopy'/syn AND 'esophagoscopy'/syn OR 'gastroscopy'/syn OR 'duodenoscopy'/syn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esophagogastroduodenoscop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oesophagogastroduodenoscop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egd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'esophagus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gastroscop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'stomach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'duodenum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'upper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gi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'upper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'upper gastrointestinal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'upper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gi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tract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'upper gastrointestinal tract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*' OR (('upper' AND (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gastrointestin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'gastro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intestin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'gastrointestinal endoscopy'/de OR 'digestive tract endoscopy'/de)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gastric* OR stomach*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duoden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'upper gastrointestinal tract'/syn) AND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*)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BBDA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269635 </w:t>
            </w:r>
          </w:p>
        </w:tc>
      </w:tr>
      <w:tr w:rsidR="00514BE7" w:rsidRPr="00265C67" w14:paraId="01D881E6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BDEE" w14:textId="4355E36E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#3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1181" w14:textId="5557F798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 AND #2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44A0" w14:textId="70F6BD5B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586</w:t>
            </w:r>
          </w:p>
        </w:tc>
      </w:tr>
      <w:tr w:rsidR="00514BE7" w:rsidRPr="00265C67" w14:paraId="4DBE03C2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0AE0" w14:textId="5102C1B6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#4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A27AC" w14:textId="44CB3F13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'visibility'/syn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visib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polprep</w:t>
            </w:r>
            <w:proofErr w:type="spellEnd"/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9201" w14:textId="052B80BE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249490</w:t>
            </w:r>
          </w:p>
        </w:tc>
      </w:tr>
      <w:tr w:rsidR="00514BE7" w:rsidRPr="00265C67" w14:paraId="150D356C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09B0" w14:textId="71CE3948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#5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611B" w14:textId="443F8ED9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'stomach mucosa'/syn OR mucosa* OR 'mucous membrane*'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1D2E" w14:textId="28489FE9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551213</w:t>
            </w:r>
          </w:p>
        </w:tc>
      </w:tr>
      <w:tr w:rsidR="00514BE7" w:rsidRPr="00265C67" w14:paraId="5409DC83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1D31" w14:textId="0F787B04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#6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BA0B" w14:textId="2AC2571D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#4 AND #5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F84A" w14:textId="4C20FAF6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5232</w:t>
            </w:r>
          </w:p>
        </w:tc>
      </w:tr>
      <w:tr w:rsidR="00514BE7" w:rsidRPr="00265C67" w14:paraId="4AF78106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7F2F" w14:textId="1C1405AC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#7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EFA3" w14:textId="7C94C5A7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'stomach content'/syn OR 'stomach emptying'/syn OR 'gastric content*' OR 'stomach content*' OR 'stomach empty*' OR 'stomach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evacuat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*' OR 'gastric empty*' OR 'gastric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evacuat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*' OR 'stomach cleanliness*' OR 'stomach retention*' OR 'gastric cleanliness*' OR 'gastric retention*' OR 'content retention*' OR 'retained content*' OR 'retained food*' OR 'food retention*' OR 'food content*'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1796" w14:textId="199A3647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40365</w:t>
            </w:r>
          </w:p>
        </w:tc>
      </w:tr>
      <w:tr w:rsidR="00514BE7" w:rsidRPr="00265C67" w14:paraId="08EDBC0F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B17A" w14:textId="472A5A52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#8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572E" w14:textId="738E83D2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#3 AND #6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72F3" w14:textId="3D640706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</w:tr>
      <w:tr w:rsidR="00514BE7" w:rsidRPr="00265C67" w14:paraId="7F0A01F8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2E85" w14:textId="3ED7D687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#9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5817" w14:textId="31AA7670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#3 AND #7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557E8" w14:textId="416E5536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171</w:t>
            </w:r>
          </w:p>
        </w:tc>
      </w:tr>
      <w:tr w:rsidR="00514BE7" w:rsidRPr="00265C67" w14:paraId="2E54A0C0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8B1F" w14:textId="794DD19B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#10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7F0C3" w14:textId="7690F240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#8 OR #9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5423" w14:textId="40C7BEE6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171</w:t>
            </w:r>
          </w:p>
        </w:tc>
      </w:tr>
      <w:tr w:rsidR="00514BE7" w:rsidRPr="00265C67" w14:paraId="1A573D2A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7BE03" w14:textId="396F1BF9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#11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783E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#10 NOT ([animals]/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lim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NOT [humans]/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lim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) NOT ('conference review'/it OR 'editorial'/it OR 'letter'/it OR 'note'/it OR 'review'/it OR 'short survey'/it OR 'tombstone'/it OR 'case report'/de OR '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meta analysis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'/de OR '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meta analysis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topic'/de OR 'systematic review'/de OR 'systematic review topic'/de)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C5CE" w14:textId="49F365EE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107</w:t>
            </w:r>
          </w:p>
        </w:tc>
      </w:tr>
    </w:tbl>
    <w:p w14:paraId="4FBE894A" w14:textId="781F4F88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475C2FF8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2D59E7D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E4AB69C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150B8DD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3FC8729E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F725F8A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57280CDA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30BF7B24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0B73ACDA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185C612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639C297A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2BDC5B3B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2CDEA135" w14:textId="77777777" w:rsidR="00B25462" w:rsidRPr="00235C36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5EE60AF7" w14:textId="726F9ADD" w:rsidR="00514BE7" w:rsidRPr="00597F55" w:rsidRDefault="00514BE7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zh-CN"/>
        </w:rPr>
      </w:pPr>
      <w:r w:rsidRPr="00597F55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MEDLINE (PubMed, National Center for Biotechnology Information, National Library of Medicine)</w:t>
      </w:r>
    </w:p>
    <w:tbl>
      <w:tblPr>
        <w:tblStyle w:val="Style6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20"/>
        <w:gridCol w:w="6798"/>
        <w:gridCol w:w="972"/>
      </w:tblGrid>
      <w:tr w:rsidR="00514BE7" w:rsidRPr="00597F55" w14:paraId="028D705A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821E" w14:textId="54043CD4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597F55">
              <w:rPr>
                <w:rFonts w:ascii="Times New Roman" w:eastAsia="Calibri" w:hAnsi="Times New Roman" w:cs="Times New Roman"/>
                <w:b/>
                <w:bCs/>
                <w:sz w:val="20"/>
              </w:rPr>
              <w:t>No.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9151" w14:textId="77F6D988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597F55">
              <w:rPr>
                <w:rFonts w:ascii="Times New Roman" w:eastAsia="Calibri" w:hAnsi="Times New Roman" w:cs="Times New Roman"/>
                <w:b/>
                <w:bCs/>
                <w:sz w:val="20"/>
              </w:rPr>
              <w:t>Query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90CB" w14:textId="3E951296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597F55">
              <w:rPr>
                <w:rFonts w:ascii="Times New Roman" w:eastAsia="Calibri" w:hAnsi="Times New Roman" w:cs="Times New Roman"/>
                <w:b/>
                <w:bCs/>
                <w:sz w:val="20"/>
              </w:rPr>
              <w:t>Results</w:t>
            </w:r>
          </w:p>
        </w:tc>
      </w:tr>
      <w:tr w:rsidR="00514BE7" w:rsidRPr="00265C67" w14:paraId="600AC60D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CD71" w14:textId="419E65C2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29FD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"Glucagon-Like Peptide-1 Receptor Agonists"[Mesh] OR "Liraglutide"[Mesh] OR "tirzepatide"[Supplementary Concept] OR "Exenatide"[Mesh] OR "lixisenatide"[Supplementary Concept] OR GLP-1-agonist* OR GLP-1-receptor-agonist* OR glucagon-like-peptide-1-agonist* OR glucagon-like-peptide-1-receptor-stimulating-agent* OR glucagon-like-peptide-1-receptor-agonist* OR incretin-mimetic* OR long-acting-GLP-1-agonist* OR long-acting-GLP-1-receptor-agonist* OR long-acting-glucagon-like-peptide-1-agonist* OR long-acting-glucagon-like-peptide-1-receptor-agonist* OR tirzepatide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zepbound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albiglutide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beinaglutide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exendin-4 OR Byetta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Bydureon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liraglutide OR Victoza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Saxenda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lixisenatide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Lyxumia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Adlyxin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semaglutide OR Ozempic OR Wegovy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rybelsus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8B9BF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15,432 </w:t>
            </w:r>
          </w:p>
        </w:tc>
      </w:tr>
      <w:tr w:rsidR="00514BE7" w:rsidRPr="00265C67" w14:paraId="687DB997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CCFB2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9384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"Duodenoscopy"[Mesh] OR "Gastroscopy"[Mesh] OR "Esophagoscopy"[Mesh]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Esophagogastroduodenoscop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oesophagogastroduodenoscop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EGD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esophagus-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gastroscop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stomach-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duodenum-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upper-GI-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upper-gastrointestinal-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gi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-tract-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upper-gastrointestinal-tract-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((("Upper" AND (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gastrointestin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gastro-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intestin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"Endoscopy, Digestive System"[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Mesh:NoExp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] OR "Endoscopy, Gastrointestinal"[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Mesh:NoExp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]) )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gastric* OR stomach*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duoden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*) AND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*)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FD1A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129,088 </w:t>
            </w:r>
          </w:p>
        </w:tc>
      </w:tr>
      <w:tr w:rsidR="00514BE7" w:rsidRPr="00265C67" w14:paraId="7E626788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CC51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3 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1FEF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 AND #2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EBDE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55 </w:t>
            </w:r>
          </w:p>
        </w:tc>
      </w:tr>
      <w:tr w:rsidR="00514BE7" w:rsidRPr="00265C67" w14:paraId="6D89F785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BBFA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4 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2B22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"Gastric Mucosa"[Mesh] OR Mucosa* OR mucous-membrane*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6B80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415,053 </w:t>
            </w:r>
          </w:p>
        </w:tc>
      </w:tr>
      <w:tr w:rsidR="00514BE7" w:rsidRPr="00265C67" w14:paraId="3CA0B95C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9AA57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5 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C3B6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Visib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POLPREP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923D7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196,739 </w:t>
            </w:r>
          </w:p>
        </w:tc>
      </w:tr>
      <w:tr w:rsidR="00514BE7" w:rsidRPr="00265C67" w14:paraId="35059D64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D87B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6 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F3A0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#4 AND #5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0E39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2,868 </w:t>
            </w:r>
          </w:p>
        </w:tc>
      </w:tr>
      <w:tr w:rsidR="00514BE7" w:rsidRPr="00265C67" w14:paraId="5FC2E1A7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C265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7 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577F3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"Gastrointestinal Contents"[Mesh] OR "Gastric Emptying"[Mesh] OR Gastric-content* OR stomach-content* OR stomach-empty* OR stomach-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evacuat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gastric-empty* OR gastric-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evacuat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stomach-cleanliness* OR stomach-retention* OR gastric-cleanliness* OR gastric-retention* OR content-retention* OR retained-content* OR retained-food* OR food-retention* OR food-content*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AE9F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27,183 </w:t>
            </w:r>
          </w:p>
        </w:tc>
      </w:tr>
      <w:tr w:rsidR="00514BE7" w:rsidRPr="00265C67" w14:paraId="3BED35D5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9FFB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8 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31A2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#3 AND #6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D855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1 </w:t>
            </w:r>
          </w:p>
        </w:tc>
      </w:tr>
      <w:tr w:rsidR="00514BE7" w:rsidRPr="00265C67" w14:paraId="680CD1BC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F716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9 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BE23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#3 AND #7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38EE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25 </w:t>
            </w:r>
          </w:p>
        </w:tc>
      </w:tr>
      <w:tr w:rsidR="00514BE7" w:rsidRPr="00265C67" w14:paraId="01008589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F9E1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10 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0BC0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#8 OR #9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8484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25 </w:t>
            </w:r>
          </w:p>
        </w:tc>
      </w:tr>
      <w:tr w:rsidR="00514BE7" w:rsidRPr="00265C67" w14:paraId="3855F38B" w14:textId="77777777" w:rsidTr="00265C67">
        <w:trPr>
          <w:trHeight w:val="300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9A7C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11 </w:t>
            </w:r>
          </w:p>
        </w:tc>
        <w:tc>
          <w:tcPr>
            <w:tcW w:w="4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45FD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#10 NOT ("animals"[mesh] NOT "humans"[mesh]) NOT ("case reports"[Publication Type] OR "comment"[Publication Type] OR "editorial"[Publication Type] OR "guideline"[Publication Type] OR "introductory journal article"[Publication Type] OR "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meta analysis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"[Publication Type] OR "news"[Publication Type] OR "retracted publication"[Publication Type] OR "review"[Publication Type] OR "systematic review"[Publication Type])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D010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16 </w:t>
            </w:r>
          </w:p>
        </w:tc>
      </w:tr>
    </w:tbl>
    <w:p w14:paraId="546CED8B" w14:textId="2AFD1CE6" w:rsidR="00514BE7" w:rsidRDefault="00514BE7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FE80955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357D11B5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6B83C535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23BCC6E9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363CBBA8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0BA094B5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CD87CDC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2AF1D32F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1075748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21CF7550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D46AF44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51A0F72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6264328A" w14:textId="77777777" w:rsidR="00B25462" w:rsidRPr="00235C36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1E1C35C" w14:textId="74B2AE06" w:rsidR="00514BE7" w:rsidRPr="00597F55" w:rsidRDefault="00514BE7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zh-CN"/>
        </w:rPr>
      </w:pPr>
      <w:r w:rsidRPr="00597F5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Cochrane Central Register of Controlled Trials (CochraneLibrary.com platform, Wiley, </w:t>
      </w:r>
      <w:r w:rsidRPr="00597F5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Issue 5 of 12, May 2024)</w:t>
      </w:r>
    </w:p>
    <w:tbl>
      <w:tblPr>
        <w:tblStyle w:val="Style67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47"/>
        <w:gridCol w:w="6957"/>
        <w:gridCol w:w="786"/>
      </w:tblGrid>
      <w:tr w:rsidR="00514BE7" w:rsidRPr="00597F55" w14:paraId="2598591E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A6C4" w14:textId="57FC1C2A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597F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ID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AA145" w14:textId="05CB0143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597F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Search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957B" w14:textId="7DD15344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0"/>
                <w:lang w:eastAsia="zh-CN"/>
              </w:rPr>
            </w:pPr>
            <w:r w:rsidRPr="00597F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</w:rPr>
              <w:t>Hits</w:t>
            </w:r>
          </w:p>
        </w:tc>
      </w:tr>
      <w:tr w:rsidR="00514BE7" w:rsidRPr="00265C67" w14:paraId="70E34F88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9EAD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3753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"Glucagon-Like Peptide-1 Receptor Agonists"] OR 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"Liraglutide"] OR 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"Exenatide"] OR "GLP 1 agonists" OR "GLP 1 receptor agonists" OR "glucagon like peptide 1 agonists" OR "glucagon like peptide 1 receptor stimulating agent" OR "glucagon like peptide 1 receptor agonists" OR "GLP 1 agonist" OR "GLP 1 receptor agonist" OR "glucagon like peptide 1 agonist" OR "glucagon like peptide 1 receptor stimulating agent" OR "glucagon like peptide 1 receptor agonist" OR incretin mimetic* OR tirzepatide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zepbound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albiglutide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beinaglutide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"exendin 4" OR Byetta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Bydureon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liraglutide OR Victoza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Saxenda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lixisenatide 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Lyxumia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Adlyxin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semaglutide OR Ozempic OR Wegovy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rybelsus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5B3F" w14:textId="62745A00" w:rsidR="00514BE7" w:rsidRPr="00597F55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5689</w:t>
            </w:r>
          </w:p>
        </w:tc>
      </w:tr>
      <w:tr w:rsidR="00514BE7" w:rsidRPr="00265C67" w14:paraId="1E64CF26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17D4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#2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10EF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"Duodenoscopy"] OR 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"Gastroscopy"] OR 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"Esophagoscopy"]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Esophagogastroduodenoscop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oesophagogastroduodenoscop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EGD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esophagus-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gastroscop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stomach-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duodenum-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upper-GI-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upper-gastrointestinal-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gi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-tract-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upper-gastrointestinal-tract-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((("Upper" AND (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gastrointestin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gastro-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intestin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^"Endoscopy, Digestive System"] OR 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^"Endoscopy, Gastrointestinal"]) )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gastric* OR stomach*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duoden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*) AND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*)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7067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16056 </w:t>
            </w:r>
          </w:p>
        </w:tc>
      </w:tr>
      <w:tr w:rsidR="00514BE7" w:rsidRPr="00265C67" w14:paraId="7D348E5A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B355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#3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B8524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 AND #2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F97F0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20 </w:t>
            </w:r>
          </w:p>
        </w:tc>
      </w:tr>
      <w:tr w:rsidR="00514BE7" w:rsidRPr="00265C67" w14:paraId="51AB3F39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60D6D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#4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FCD1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"Gastric Mucosa"] OR Mucosa* OR mucous-membrane*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BF2E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24859 </w:t>
            </w:r>
          </w:p>
        </w:tc>
      </w:tr>
      <w:tr w:rsidR="00514BE7" w:rsidRPr="00265C67" w14:paraId="1BC3E424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3CC2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#5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AA28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Visib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POLPREP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4858A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8637 </w:t>
            </w:r>
          </w:p>
        </w:tc>
      </w:tr>
      <w:tr w:rsidR="00514BE7" w:rsidRPr="00265C67" w14:paraId="66C1FAF6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E6DC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#6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5F17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#4 AND #5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AEAD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643 </w:t>
            </w:r>
          </w:p>
        </w:tc>
      </w:tr>
      <w:tr w:rsidR="00514BE7" w:rsidRPr="00265C67" w14:paraId="66EB10E5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A096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#7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5F93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"Gastrointestinal Contents"] OR [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mh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"Gastric Emptying"] OR Gastric-content* OR stomach-content* OR stomach-empty* OR stomach-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evacuat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gastric-empty* OR gastric-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evacuat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stomach-cleanliness* OR stomach-retention* OR gastric-cleanliness* OR gastric-retention* OR content-retention* OR retained-content* OR retained-food* OR food-retention* OR food-content*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7660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5631 </w:t>
            </w:r>
          </w:p>
        </w:tc>
      </w:tr>
      <w:tr w:rsidR="00514BE7" w:rsidRPr="00265C67" w14:paraId="341689C3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2118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563C1"/>
                <w:sz w:val="20"/>
                <w:u w:val="single"/>
              </w:rPr>
              <w:t>#8</w:t>
            </w:r>
            <w:r w:rsidRPr="00265C67">
              <w:rPr>
                <w:rFonts w:ascii="Times New Roman" w:eastAsia="Calibri" w:hAnsi="Times New Roman" w:cs="Times New Roman"/>
                <w:color w:val="0563C1"/>
                <w:sz w:val="20"/>
              </w:rPr>
              <w:t>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71E1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#3 AND #6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BAE9C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0 </w:t>
            </w:r>
          </w:p>
        </w:tc>
      </w:tr>
      <w:tr w:rsidR="00514BE7" w:rsidRPr="00265C67" w14:paraId="01866214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D7AD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#9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FFE1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#3 AND #7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25A7E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6 </w:t>
            </w:r>
          </w:p>
        </w:tc>
      </w:tr>
      <w:tr w:rsidR="00514BE7" w:rsidRPr="00265C67" w14:paraId="3445A429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45A0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#10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D2FB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563C1"/>
                <w:sz w:val="20"/>
                <w:u w:val="single"/>
              </w:rPr>
              <w:t>#8 OR #9</w:t>
            </w:r>
            <w:r w:rsidRPr="00265C67">
              <w:rPr>
                <w:rFonts w:ascii="Times New Roman" w:eastAsia="Calibri" w:hAnsi="Times New Roman" w:cs="Times New Roman"/>
                <w:color w:val="0563C1"/>
                <w:sz w:val="20"/>
              </w:rPr>
              <w:t>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D3F2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6 </w:t>
            </w:r>
          </w:p>
        </w:tc>
      </w:tr>
      <w:tr w:rsidR="00514BE7" w:rsidRPr="00265C67" w14:paraId="2CCB617E" w14:textId="77777777" w:rsidTr="00265C67">
        <w:trPr>
          <w:trHeight w:val="300"/>
        </w:trPr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78A0A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#11 </w:t>
            </w:r>
          </w:p>
        </w:tc>
        <w:tc>
          <w:tcPr>
            <w:tcW w:w="4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96F9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#10 in Trials </w:t>
            </w: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79350" w14:textId="77777777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6 </w:t>
            </w:r>
          </w:p>
        </w:tc>
      </w:tr>
    </w:tbl>
    <w:p w14:paraId="1167FB50" w14:textId="571D1974" w:rsidR="00514BE7" w:rsidRDefault="00514BE7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zh-CN"/>
        </w:rPr>
      </w:pPr>
    </w:p>
    <w:p w14:paraId="79F5A216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zh-CN"/>
        </w:rPr>
      </w:pPr>
    </w:p>
    <w:p w14:paraId="51DE136F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zh-CN"/>
        </w:rPr>
      </w:pPr>
    </w:p>
    <w:p w14:paraId="3D2AB8B7" w14:textId="77777777" w:rsidR="00235C36" w:rsidRDefault="00235C36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977FE2F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62424806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4A3CD145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005F1AC3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9B4B58A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274BB13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6F9825E6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1E122C9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17E83E7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4B202BFB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48F9EDC7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71826434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04BE6706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158AB2E8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289D9065" w14:textId="77777777" w:rsidR="00B25462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3FCB90D5" w14:textId="77777777" w:rsidR="00B25462" w:rsidRPr="00235C36" w:rsidRDefault="00B25462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p w14:paraId="5D20EC0D" w14:textId="5D0A5B79" w:rsidR="00514BE7" w:rsidRPr="00286A67" w:rsidRDefault="00514BE7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zh-CN"/>
        </w:rPr>
      </w:pPr>
      <w:r w:rsidRPr="00286A6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Web of Science Core Collection (Web of Science Platform, Clarivate, Editions = Arts &amp; Humanities Citation Index, Emerging Sources Citation Index, Conference Proceedings Citation Index, Science Citation Index-EXPANDED, and Social Science Citation Index)</w:t>
      </w:r>
    </w:p>
    <w:tbl>
      <w:tblPr>
        <w:tblStyle w:val="Style68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551"/>
        <w:gridCol w:w="739"/>
      </w:tblGrid>
      <w:tr w:rsidR="00514BE7" w:rsidRPr="00265C67" w14:paraId="0CB5CE9B" w14:textId="77777777" w:rsidTr="00265C67">
        <w:trPr>
          <w:trHeight w:val="135"/>
        </w:trPr>
        <w:tc>
          <w:tcPr>
            <w:tcW w:w="4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8D35" w14:textId="5547393B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GLP-1-agonist* OR GLP-1-receptor-agonist* OR glucagon-like-peptide-1-agonist* OR glucagon-like-peptide-1-receptor-stimulating-agent* OR glucagon-like-peptide-1-receptor-agonist* OR incretin-mimetic* OR long-acting-GLP-1-agonist* OR long-acting-GLP-1-receptor-agonist* OR long-acting-glucagon-like-peptide-1-agonist* OR long-acting-glucagon-like-peptide-1-receptor-agonist* OR tirzepatide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zepbound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albiglutide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beinaglutide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exendin-4 OR Byetta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Bydureon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liraglutide OR Victoza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Saxenda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lixisenatide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Lyxumia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Adlyxin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OR semaglutide OR Ozempic OR Wegovy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rybelsus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(Topic)</w:t>
            </w:r>
          </w:p>
          <w:p w14:paraId="239205F8" w14:textId="286B6141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and</w:t>
            </w:r>
          </w:p>
          <w:p w14:paraId="33FBBB29" w14:textId="15D09A20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Esophagogastroduodenoscop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oesophagogastroduodenoscop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EGD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esophagus-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gastroscop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stomach-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duodenoscop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duodenum-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upper-GI-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upper-gastrointestinal-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gi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-tract-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upper-gastrointestinal-tract-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((("Upper" AND (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gastrointestin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gastro-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intestin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*) )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esophag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oesophag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 OR gastric* OR stomach* OR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duoden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*) AND 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endoscop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*) (Topic)</w:t>
            </w:r>
          </w:p>
          <w:p w14:paraId="5B47D2FC" w14:textId="2C75D129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and</w:t>
            </w:r>
          </w:p>
          <w:p w14:paraId="6D75E523" w14:textId="15589ABC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(Gastric-content* OR stomach-content* OR stomach-empty* OR stomach-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evacuat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gastric-empty* OR gastric-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evacuat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stomach-cleanliness* OR stomach-retention* OR gastric-cleanliness* OR gastric-retention* OR content-retention* OR retained-content* OR retained-food* OR food-retention* OR food-content*) OR ((</w:t>
            </w:r>
            <w:proofErr w:type="spellStart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Visib</w:t>
            </w:r>
            <w:proofErr w:type="spellEnd"/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* OR POLPREP) AND (Mucosa* OR mucous-membrane*)) (Topic)</w:t>
            </w:r>
          </w:p>
          <w:p w14:paraId="5EE45684" w14:textId="1FECC1BD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and</w:t>
            </w:r>
          </w:p>
          <w:p w14:paraId="78D7E7E2" w14:textId="58D124C9" w:rsidR="00514BE7" w:rsidRPr="00265C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Preprint Citation Index (Exclude – Database) and Case Report or Editorial Material or Review Article or Awarded Grant or Letter (Exclude – Document Types) and Web of Science Core Collection (Database)</w:t>
            </w:r>
          </w:p>
        </w:tc>
        <w:tc>
          <w:tcPr>
            <w:tcW w:w="4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B274" w14:textId="336C6A67" w:rsidR="00514BE7" w:rsidRPr="00286A67" w:rsidRDefault="00514BE7" w:rsidP="00265C67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lang w:eastAsia="zh-CN"/>
              </w:rPr>
            </w:pPr>
            <w:r w:rsidRPr="00265C67">
              <w:rPr>
                <w:rFonts w:ascii="Times New Roman" w:eastAsia="Calibri" w:hAnsi="Times New Roman" w:cs="Times New Roman"/>
                <w:color w:val="000000"/>
                <w:sz w:val="20"/>
              </w:rPr>
              <w:t>14</w:t>
            </w:r>
          </w:p>
        </w:tc>
      </w:tr>
    </w:tbl>
    <w:p w14:paraId="7E46123C" w14:textId="77777777" w:rsidR="009E48E0" w:rsidRPr="00265C67" w:rsidRDefault="009E48E0" w:rsidP="00265C67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zh-CN"/>
        </w:rPr>
      </w:pPr>
    </w:p>
    <w:sectPr w:rsidR="009E48E0" w:rsidRPr="00265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1C53F" w14:textId="77777777" w:rsidR="00D106E7" w:rsidRDefault="00D106E7" w:rsidP="00265C67">
      <w:pPr>
        <w:spacing w:after="0" w:line="240" w:lineRule="auto"/>
      </w:pPr>
      <w:r>
        <w:separator/>
      </w:r>
    </w:p>
  </w:endnote>
  <w:endnote w:type="continuationSeparator" w:id="0">
    <w:p w14:paraId="2ABFA6D7" w14:textId="77777777" w:rsidR="00D106E7" w:rsidRDefault="00D106E7" w:rsidP="0026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DB0B" w14:textId="77777777" w:rsidR="00D106E7" w:rsidRDefault="00D106E7" w:rsidP="00265C67">
      <w:pPr>
        <w:spacing w:after="0" w:line="240" w:lineRule="auto"/>
      </w:pPr>
      <w:r>
        <w:separator/>
      </w:r>
    </w:p>
  </w:footnote>
  <w:footnote w:type="continuationSeparator" w:id="0">
    <w:p w14:paraId="55AEB0EF" w14:textId="77777777" w:rsidR="00D106E7" w:rsidRDefault="00D106E7" w:rsidP="00265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E7"/>
    <w:rsid w:val="00235C36"/>
    <w:rsid w:val="00265C67"/>
    <w:rsid w:val="00286A67"/>
    <w:rsid w:val="00514BE7"/>
    <w:rsid w:val="00531D51"/>
    <w:rsid w:val="00597F55"/>
    <w:rsid w:val="00922E90"/>
    <w:rsid w:val="009E48E0"/>
    <w:rsid w:val="00A508D1"/>
    <w:rsid w:val="00B25462"/>
    <w:rsid w:val="00B33B96"/>
    <w:rsid w:val="00BD6C8F"/>
    <w:rsid w:val="00D106E7"/>
    <w:rsid w:val="00D673D8"/>
    <w:rsid w:val="00D976D7"/>
    <w:rsid w:val="00DC3868"/>
    <w:rsid w:val="00F57F6A"/>
    <w:rsid w:val="00F8189C"/>
    <w:rsid w:val="00F8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BD244"/>
  <w15:chartTrackingRefBased/>
  <w15:docId w15:val="{78663C1F-225A-4E0A-BB4D-2CF5EF23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BE7"/>
    <w:pPr>
      <w:spacing w:after="160" w:line="259" w:lineRule="auto"/>
    </w:pPr>
    <w:rPr>
      <w:rFonts w:ascii="Aptos" w:eastAsia="Aptos" w:hAnsi="Aptos" w:cs="Aptos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4BE7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BE7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BE7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BE7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BE7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BE7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BE7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BE7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BE7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B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B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B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B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BE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4B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B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B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B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BE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14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BE7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14B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BE7"/>
    <w:pPr>
      <w:widowControl w:val="0"/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14B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BE7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514B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BE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14B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BE7"/>
    <w:rPr>
      <w:b/>
      <w:bCs/>
      <w:smallCaps/>
      <w:color w:val="2F5496" w:themeColor="accent1" w:themeShade="BF"/>
      <w:spacing w:val="5"/>
    </w:rPr>
  </w:style>
  <w:style w:type="table" w:customStyle="1" w:styleId="Style65">
    <w:name w:val="_Style 65"/>
    <w:basedOn w:val="a1"/>
    <w:rsid w:val="00514BE7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66">
    <w:name w:val="_Style 66"/>
    <w:basedOn w:val="a1"/>
    <w:qFormat/>
    <w:rsid w:val="00514BE7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67">
    <w:name w:val="_Style 67"/>
    <w:basedOn w:val="a1"/>
    <w:rsid w:val="00514BE7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table" w:customStyle="1" w:styleId="Style68">
    <w:name w:val="_Style 68"/>
    <w:basedOn w:val="a1"/>
    <w:rsid w:val="00514BE7"/>
    <w:rPr>
      <w:rFonts w:ascii="Aptos" w:hAnsi="Aptos" w:cs="Aptos"/>
      <w:kern w:val="0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265C6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65C67"/>
    <w:rPr>
      <w:rFonts w:ascii="Aptos" w:eastAsia="Aptos" w:hAnsi="Aptos" w:cs="Aptos"/>
      <w:kern w:val="0"/>
      <w:sz w:val="18"/>
      <w:szCs w:val="18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265C6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65C67"/>
    <w:rPr>
      <w:rFonts w:ascii="Aptos" w:eastAsia="Aptos" w:hAnsi="Aptos" w:cs="Aptos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8</cp:revision>
  <dcterms:created xsi:type="dcterms:W3CDTF">2026-04-14T03:09:00Z</dcterms:created>
  <dcterms:modified xsi:type="dcterms:W3CDTF">2026-04-14T10:01:00Z</dcterms:modified>
</cp:coreProperties>
</file>