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BDDCF" w14:textId="6A6FDA43" w:rsidR="00CA090B" w:rsidRPr="00596B3B" w:rsidRDefault="00000000" w:rsidP="00596B3B">
      <w:pPr>
        <w:keepNext/>
        <w:spacing w:before="160"/>
        <w:rPr>
          <w:rFonts w:eastAsia="宋体" w:hint="eastAsia"/>
          <w:lang w:eastAsia="zh-CN"/>
        </w:rPr>
      </w:pPr>
      <w:r>
        <w:rPr>
          <w:rFonts w:eastAsia="Times New Roman"/>
          <w:b/>
          <w:color w:val="000000"/>
        </w:rPr>
        <w:t>Suppl</w:t>
      </w:r>
      <w:r w:rsidR="001329E1">
        <w:rPr>
          <w:rFonts w:eastAsia="宋体" w:hint="eastAsia"/>
          <w:b/>
          <w:color w:val="000000"/>
          <w:lang w:eastAsia="zh-CN"/>
        </w:rPr>
        <w:t xml:space="preserve"> </w:t>
      </w:r>
      <w:r>
        <w:rPr>
          <w:rFonts w:eastAsia="Times New Roman"/>
          <w:b/>
          <w:color w:val="000000"/>
        </w:rPr>
        <w:t>1. Selected Evidence and Its Relationship to the Proposed Framework</w:t>
      </w:r>
    </w:p>
    <w:tbl>
      <w:tblPr>
        <w:tblW w:w="12960" w:type="dxa"/>
        <w:jc w:val="center"/>
        <w:tblBorders>
          <w:top w:val="single" w:sz="4" w:space="0" w:color="AAB2BA"/>
          <w:left w:val="single" w:sz="4" w:space="0" w:color="AAB2BA"/>
          <w:bottom w:val="single" w:sz="4" w:space="0" w:color="AAB2BA"/>
          <w:right w:val="single" w:sz="4" w:space="0" w:color="AAB2BA"/>
          <w:insideH w:val="single" w:sz="4" w:space="0" w:color="AAB2BA"/>
          <w:insideV w:val="single" w:sz="4" w:space="0" w:color="AAB2BA"/>
        </w:tblBorders>
        <w:tblLayout w:type="fixed"/>
        <w:tblLook w:val="04A0" w:firstRow="1" w:lastRow="0" w:firstColumn="1" w:lastColumn="0" w:noHBand="0" w:noVBand="1"/>
      </w:tblPr>
      <w:tblGrid>
        <w:gridCol w:w="2016"/>
        <w:gridCol w:w="3168"/>
        <w:gridCol w:w="3744"/>
        <w:gridCol w:w="4032"/>
      </w:tblGrid>
      <w:tr w:rsidR="00CA090B" w14:paraId="6F47F662" w14:textId="77777777" w:rsidTr="001329E1">
        <w:trPr>
          <w:cantSplit/>
          <w:trHeight w:val="17"/>
          <w:tblHeader/>
          <w:jc w:val="center"/>
        </w:trPr>
        <w:tc>
          <w:tcPr>
            <w:tcW w:w="2016" w:type="dxa"/>
            <w:shd w:val="clear" w:color="auto" w:fill="E8ECF0"/>
            <w:tcMar>
              <w:top w:w="65" w:type="dxa"/>
              <w:left w:w="80" w:type="dxa"/>
              <w:bottom w:w="65" w:type="dxa"/>
              <w:right w:w="80" w:type="dxa"/>
            </w:tcMar>
          </w:tcPr>
          <w:p w14:paraId="6AE94A0E" w14:textId="77777777" w:rsidR="00CA090B" w:rsidRDefault="00000000">
            <w:r>
              <w:rPr>
                <w:b/>
                <w:color w:val="000000"/>
              </w:rPr>
              <w:t>Source</w:t>
            </w:r>
          </w:p>
        </w:tc>
        <w:tc>
          <w:tcPr>
            <w:tcW w:w="3168" w:type="dxa"/>
            <w:shd w:val="clear" w:color="auto" w:fill="E8ECF0"/>
            <w:tcMar>
              <w:top w:w="65" w:type="dxa"/>
              <w:left w:w="80" w:type="dxa"/>
              <w:bottom w:w="65" w:type="dxa"/>
              <w:right w:w="80" w:type="dxa"/>
            </w:tcMar>
          </w:tcPr>
          <w:p w14:paraId="12CADE98" w14:textId="77777777" w:rsidR="00CA090B" w:rsidRDefault="00000000">
            <w:r>
              <w:rPr>
                <w:b/>
                <w:color w:val="000000"/>
              </w:rPr>
              <w:t>Design / population</w:t>
            </w:r>
          </w:p>
        </w:tc>
        <w:tc>
          <w:tcPr>
            <w:tcW w:w="3744" w:type="dxa"/>
            <w:shd w:val="clear" w:color="auto" w:fill="E8ECF0"/>
            <w:tcMar>
              <w:top w:w="65" w:type="dxa"/>
              <w:left w:w="80" w:type="dxa"/>
              <w:bottom w:w="65" w:type="dxa"/>
              <w:right w:w="80" w:type="dxa"/>
            </w:tcMar>
          </w:tcPr>
          <w:p w14:paraId="0BCA2917" w14:textId="77777777" w:rsidR="00CA090B" w:rsidRDefault="00000000">
            <w:r>
              <w:rPr>
                <w:b/>
                <w:color w:val="000000"/>
              </w:rPr>
              <w:t>Principal finding</w:t>
            </w:r>
          </w:p>
        </w:tc>
        <w:tc>
          <w:tcPr>
            <w:tcW w:w="4032" w:type="dxa"/>
            <w:shd w:val="clear" w:color="auto" w:fill="E8ECF0"/>
            <w:tcMar>
              <w:top w:w="65" w:type="dxa"/>
              <w:left w:w="80" w:type="dxa"/>
              <w:bottom w:w="65" w:type="dxa"/>
              <w:right w:w="80" w:type="dxa"/>
            </w:tcMar>
          </w:tcPr>
          <w:p w14:paraId="65970FD9" w14:textId="77777777" w:rsidR="00CA090B" w:rsidRDefault="00000000">
            <w:r>
              <w:rPr>
                <w:b/>
                <w:color w:val="000000"/>
              </w:rPr>
              <w:t>Relevance and evidentiary limit</w:t>
            </w:r>
          </w:p>
        </w:tc>
      </w:tr>
      <w:tr w:rsidR="00CA090B" w14:paraId="63777165" w14:textId="77777777" w:rsidTr="00596B3B">
        <w:trPr>
          <w:cantSplit/>
          <w:jc w:val="center"/>
        </w:trPr>
        <w:tc>
          <w:tcPr>
            <w:tcW w:w="2016" w:type="dxa"/>
            <w:shd w:val="clear" w:color="auto" w:fill="F4F5F6"/>
            <w:tcMar>
              <w:top w:w="65" w:type="dxa"/>
              <w:left w:w="80" w:type="dxa"/>
              <w:bottom w:w="65" w:type="dxa"/>
              <w:right w:w="80" w:type="dxa"/>
            </w:tcMar>
          </w:tcPr>
          <w:p w14:paraId="36C405CA" w14:textId="77777777" w:rsidR="00CA090B" w:rsidRDefault="00000000">
            <w:r>
              <w:rPr>
                <w:b/>
                <w:color w:val="000000"/>
              </w:rPr>
              <w:t>STEP 1 [3]</w:t>
            </w:r>
          </w:p>
        </w:tc>
        <w:tc>
          <w:tcPr>
            <w:tcW w:w="3168" w:type="dxa"/>
            <w:tcMar>
              <w:top w:w="65" w:type="dxa"/>
              <w:left w:w="80" w:type="dxa"/>
              <w:bottom w:w="65" w:type="dxa"/>
              <w:right w:w="80" w:type="dxa"/>
            </w:tcMar>
          </w:tcPr>
          <w:p w14:paraId="191ED759" w14:textId="77777777" w:rsidR="00CA090B" w:rsidRDefault="00000000">
            <w:r>
              <w:rPr>
                <w:color w:val="000000"/>
              </w:rPr>
              <w:t>Randomized trial; 1,961 adults with overweight/obesity without diabetes; 68 weeks.</w:t>
            </w:r>
          </w:p>
        </w:tc>
        <w:tc>
          <w:tcPr>
            <w:tcW w:w="3744" w:type="dxa"/>
            <w:tcMar>
              <w:top w:w="65" w:type="dxa"/>
              <w:left w:w="80" w:type="dxa"/>
              <w:bottom w:w="65" w:type="dxa"/>
              <w:right w:w="80" w:type="dxa"/>
            </w:tcMar>
          </w:tcPr>
          <w:p w14:paraId="4F383751" w14:textId="77777777" w:rsidR="00CA090B" w:rsidRDefault="00000000">
            <w:r>
              <w:rPr>
                <w:color w:val="000000"/>
              </w:rPr>
              <w:t>Mean weight change was −14.9% with semaglutide 2.4 mg versus −2.4% with placebo.</w:t>
            </w:r>
          </w:p>
        </w:tc>
        <w:tc>
          <w:tcPr>
            <w:tcW w:w="4032" w:type="dxa"/>
            <w:tcMar>
              <w:top w:w="65" w:type="dxa"/>
              <w:left w:w="80" w:type="dxa"/>
              <w:bottom w:w="65" w:type="dxa"/>
              <w:right w:w="80" w:type="dxa"/>
            </w:tcMar>
          </w:tcPr>
          <w:p w14:paraId="3AAEEAEE" w14:textId="77777777" w:rsidR="00CA090B" w:rsidRDefault="00000000">
            <w:r>
              <w:rPr>
                <w:color w:val="000000"/>
              </w:rPr>
              <w:t>Direct evidence for drug efficacy in the studied population; not a comparison of specialty care models.</w:t>
            </w:r>
          </w:p>
        </w:tc>
      </w:tr>
      <w:tr w:rsidR="00CA090B" w14:paraId="0413BF2E" w14:textId="77777777" w:rsidTr="00596B3B">
        <w:trPr>
          <w:cantSplit/>
          <w:jc w:val="center"/>
        </w:trPr>
        <w:tc>
          <w:tcPr>
            <w:tcW w:w="2016" w:type="dxa"/>
            <w:shd w:val="clear" w:color="auto" w:fill="F4F5F6"/>
            <w:tcMar>
              <w:top w:w="65" w:type="dxa"/>
              <w:left w:w="80" w:type="dxa"/>
              <w:bottom w:w="65" w:type="dxa"/>
              <w:right w:w="80" w:type="dxa"/>
            </w:tcMar>
          </w:tcPr>
          <w:p w14:paraId="78460DB9" w14:textId="77777777" w:rsidR="00CA090B" w:rsidRDefault="00000000">
            <w:r>
              <w:rPr>
                <w:b/>
                <w:color w:val="000000"/>
              </w:rPr>
              <w:t>SURMOUNT-1 [4]</w:t>
            </w:r>
          </w:p>
        </w:tc>
        <w:tc>
          <w:tcPr>
            <w:tcW w:w="3168" w:type="dxa"/>
            <w:tcMar>
              <w:top w:w="65" w:type="dxa"/>
              <w:left w:w="80" w:type="dxa"/>
              <w:bottom w:w="65" w:type="dxa"/>
              <w:right w:w="80" w:type="dxa"/>
            </w:tcMar>
          </w:tcPr>
          <w:p w14:paraId="328970D6" w14:textId="77777777" w:rsidR="00CA090B" w:rsidRDefault="00000000">
            <w:r>
              <w:rPr>
                <w:color w:val="000000"/>
              </w:rPr>
              <w:t>Randomized trial; adults with overweight/obesity without diabetes; 72 weeks.</w:t>
            </w:r>
          </w:p>
        </w:tc>
        <w:tc>
          <w:tcPr>
            <w:tcW w:w="3744" w:type="dxa"/>
            <w:tcMar>
              <w:top w:w="65" w:type="dxa"/>
              <w:left w:w="80" w:type="dxa"/>
              <w:bottom w:w="65" w:type="dxa"/>
              <w:right w:w="80" w:type="dxa"/>
            </w:tcMar>
          </w:tcPr>
          <w:p w14:paraId="5DBA9AAE" w14:textId="77777777" w:rsidR="00CA090B" w:rsidRDefault="00000000">
            <w:r>
              <w:rPr>
                <w:color w:val="000000"/>
              </w:rPr>
              <w:t>Dose-dependent weight loss; mean reduction was 20.9% with tirzepatide 15 mg versus 3.1% with placebo.</w:t>
            </w:r>
          </w:p>
        </w:tc>
        <w:tc>
          <w:tcPr>
            <w:tcW w:w="4032" w:type="dxa"/>
            <w:tcMar>
              <w:top w:w="65" w:type="dxa"/>
              <w:left w:w="80" w:type="dxa"/>
              <w:bottom w:w="65" w:type="dxa"/>
              <w:right w:w="80" w:type="dxa"/>
            </w:tcMar>
          </w:tcPr>
          <w:p w14:paraId="5ACCF65A" w14:textId="77777777" w:rsidR="00CA090B" w:rsidRDefault="00000000">
            <w:r>
              <w:rPr>
                <w:color w:val="000000"/>
              </w:rPr>
              <w:t>Direct treatment evidence. Does not establish staffing needs or whether GI should initiate treatment.</w:t>
            </w:r>
          </w:p>
        </w:tc>
      </w:tr>
      <w:tr w:rsidR="00CA090B" w14:paraId="4305D08D" w14:textId="77777777" w:rsidTr="00596B3B">
        <w:trPr>
          <w:cantSplit/>
          <w:jc w:val="center"/>
        </w:trPr>
        <w:tc>
          <w:tcPr>
            <w:tcW w:w="2016" w:type="dxa"/>
            <w:shd w:val="clear" w:color="auto" w:fill="F4F5F6"/>
            <w:tcMar>
              <w:top w:w="65" w:type="dxa"/>
              <w:left w:w="80" w:type="dxa"/>
              <w:bottom w:w="65" w:type="dxa"/>
              <w:right w:w="80" w:type="dxa"/>
            </w:tcMar>
          </w:tcPr>
          <w:p w14:paraId="0499EB15" w14:textId="77777777" w:rsidR="00CA090B" w:rsidRDefault="00000000">
            <w:r>
              <w:rPr>
                <w:b/>
                <w:color w:val="000000"/>
              </w:rPr>
              <w:t>SELECT [5]</w:t>
            </w:r>
          </w:p>
        </w:tc>
        <w:tc>
          <w:tcPr>
            <w:tcW w:w="3168" w:type="dxa"/>
            <w:tcMar>
              <w:top w:w="65" w:type="dxa"/>
              <w:left w:w="80" w:type="dxa"/>
              <w:bottom w:w="65" w:type="dxa"/>
              <w:right w:w="80" w:type="dxa"/>
            </w:tcMar>
          </w:tcPr>
          <w:p w14:paraId="1FDC2DEB" w14:textId="77777777" w:rsidR="00CA090B" w:rsidRDefault="00000000">
            <w:r>
              <w:rPr>
                <w:color w:val="000000"/>
              </w:rPr>
              <w:t>Randomized cardiovascular outcomes trial; overweight/obesity and established cardiovascular disease, without diabetes.</w:t>
            </w:r>
          </w:p>
        </w:tc>
        <w:tc>
          <w:tcPr>
            <w:tcW w:w="3744" w:type="dxa"/>
            <w:tcMar>
              <w:top w:w="65" w:type="dxa"/>
              <w:left w:w="80" w:type="dxa"/>
              <w:bottom w:w="65" w:type="dxa"/>
              <w:right w:w="80" w:type="dxa"/>
            </w:tcMar>
          </w:tcPr>
          <w:p w14:paraId="5CDA4711" w14:textId="77777777" w:rsidR="00CA090B" w:rsidRDefault="00000000">
            <w:r>
              <w:rPr>
                <w:color w:val="000000"/>
              </w:rPr>
              <w:t>Semaglutide reduced major adverse cardiovascular events in this selected population.</w:t>
            </w:r>
          </w:p>
        </w:tc>
        <w:tc>
          <w:tcPr>
            <w:tcW w:w="4032" w:type="dxa"/>
            <w:tcMar>
              <w:top w:w="65" w:type="dxa"/>
              <w:left w:w="80" w:type="dxa"/>
              <w:bottom w:w="65" w:type="dxa"/>
              <w:right w:w="80" w:type="dxa"/>
            </w:tcMar>
          </w:tcPr>
          <w:p w14:paraId="3CE547F2" w14:textId="77777777" w:rsidR="00CA090B" w:rsidRDefault="00000000">
            <w:r>
              <w:rPr>
                <w:color w:val="000000"/>
              </w:rPr>
              <w:t>Supports attention to indication and cardiometabolic context; does not require a particular prescribing specialty.</w:t>
            </w:r>
          </w:p>
        </w:tc>
      </w:tr>
      <w:tr w:rsidR="00CA090B" w14:paraId="1BE9C0E7" w14:textId="77777777" w:rsidTr="00596B3B">
        <w:trPr>
          <w:cantSplit/>
          <w:jc w:val="center"/>
        </w:trPr>
        <w:tc>
          <w:tcPr>
            <w:tcW w:w="2016" w:type="dxa"/>
            <w:shd w:val="clear" w:color="auto" w:fill="F4F5F6"/>
            <w:tcMar>
              <w:top w:w="65" w:type="dxa"/>
              <w:left w:w="80" w:type="dxa"/>
              <w:bottom w:w="65" w:type="dxa"/>
              <w:right w:w="80" w:type="dxa"/>
            </w:tcMar>
          </w:tcPr>
          <w:p w14:paraId="511E8F8F" w14:textId="77777777" w:rsidR="00CA090B" w:rsidRDefault="00000000">
            <w:r>
              <w:rPr>
                <w:b/>
                <w:color w:val="000000"/>
              </w:rPr>
              <w:lastRenderedPageBreak/>
              <w:t>ESSENCE [6]</w:t>
            </w:r>
          </w:p>
        </w:tc>
        <w:tc>
          <w:tcPr>
            <w:tcW w:w="3168" w:type="dxa"/>
            <w:tcMar>
              <w:top w:w="65" w:type="dxa"/>
              <w:left w:w="80" w:type="dxa"/>
              <w:bottom w:w="65" w:type="dxa"/>
              <w:right w:w="80" w:type="dxa"/>
            </w:tcMar>
          </w:tcPr>
          <w:p w14:paraId="1C762EBA" w14:textId="77777777" w:rsidR="00CA090B" w:rsidRDefault="00000000">
            <w:r>
              <w:rPr>
                <w:color w:val="000000"/>
              </w:rPr>
              <w:t>Phase 3 randomized trial; biopsy-defined MASH with F2-F3 fibrosis.</w:t>
            </w:r>
          </w:p>
        </w:tc>
        <w:tc>
          <w:tcPr>
            <w:tcW w:w="3744" w:type="dxa"/>
            <w:tcMar>
              <w:top w:w="65" w:type="dxa"/>
              <w:left w:w="80" w:type="dxa"/>
              <w:bottom w:w="65" w:type="dxa"/>
              <w:right w:w="80" w:type="dxa"/>
            </w:tcMar>
          </w:tcPr>
          <w:p w14:paraId="7CEB5DDF" w14:textId="77777777" w:rsidR="00CA090B" w:rsidRDefault="00000000">
            <w:r>
              <w:rPr>
                <w:color w:val="000000"/>
              </w:rPr>
              <w:t>Semaglutide improved histologic MASH and fibrosis endpoints in the reported analysis.</w:t>
            </w:r>
          </w:p>
        </w:tc>
        <w:tc>
          <w:tcPr>
            <w:tcW w:w="4032" w:type="dxa"/>
            <w:tcMar>
              <w:top w:w="65" w:type="dxa"/>
              <w:left w:w="80" w:type="dxa"/>
              <w:bottom w:w="65" w:type="dxa"/>
              <w:right w:w="80" w:type="dxa"/>
            </w:tcMar>
          </w:tcPr>
          <w:p w14:paraId="6C7D3F14" w14:textId="77777777" w:rsidR="00CA090B" w:rsidRDefault="00000000">
            <w:r>
              <w:rPr>
                <w:color w:val="000000"/>
              </w:rPr>
              <w:t>Direct noncirrhotic MASH evidence. Cannot be extrapolated to decompensated cirrhosis or used to validate the care-allocation algorithm.</w:t>
            </w:r>
          </w:p>
        </w:tc>
      </w:tr>
      <w:tr w:rsidR="00CA090B" w14:paraId="0CFB532B" w14:textId="77777777" w:rsidTr="00596B3B">
        <w:trPr>
          <w:cantSplit/>
          <w:jc w:val="center"/>
        </w:trPr>
        <w:tc>
          <w:tcPr>
            <w:tcW w:w="2016" w:type="dxa"/>
            <w:shd w:val="clear" w:color="auto" w:fill="F4F5F6"/>
            <w:tcMar>
              <w:top w:w="65" w:type="dxa"/>
              <w:left w:w="80" w:type="dxa"/>
              <w:bottom w:w="65" w:type="dxa"/>
              <w:right w:w="80" w:type="dxa"/>
            </w:tcMar>
          </w:tcPr>
          <w:p w14:paraId="719A2147" w14:textId="77777777" w:rsidR="00CA090B" w:rsidRDefault="00000000">
            <w:r>
              <w:rPr>
                <w:b/>
                <w:color w:val="000000"/>
              </w:rPr>
              <w:t>SYNERGY-NASH [7]</w:t>
            </w:r>
          </w:p>
        </w:tc>
        <w:tc>
          <w:tcPr>
            <w:tcW w:w="3168" w:type="dxa"/>
            <w:tcMar>
              <w:top w:w="65" w:type="dxa"/>
              <w:left w:w="80" w:type="dxa"/>
              <w:bottom w:w="65" w:type="dxa"/>
              <w:right w:w="80" w:type="dxa"/>
            </w:tcMar>
          </w:tcPr>
          <w:p w14:paraId="40FB85F2" w14:textId="77777777" w:rsidR="00CA090B" w:rsidRDefault="00000000">
            <w:r>
              <w:rPr>
                <w:color w:val="000000"/>
              </w:rPr>
              <w:t>Phase 2 randomized trial; MASH with F2-F3 fibrosis.</w:t>
            </w:r>
          </w:p>
        </w:tc>
        <w:tc>
          <w:tcPr>
            <w:tcW w:w="3744" w:type="dxa"/>
            <w:tcMar>
              <w:top w:w="65" w:type="dxa"/>
              <w:left w:w="80" w:type="dxa"/>
              <w:bottom w:w="65" w:type="dxa"/>
              <w:right w:w="80" w:type="dxa"/>
            </w:tcMar>
          </w:tcPr>
          <w:p w14:paraId="0C4E7726" w14:textId="77777777" w:rsidR="00CA090B" w:rsidRDefault="00000000">
            <w:r>
              <w:rPr>
                <w:color w:val="000000"/>
              </w:rPr>
              <w:t>Tirzepatide increased MASH resolution without worsening fibrosis at 52 weeks.</w:t>
            </w:r>
          </w:p>
        </w:tc>
        <w:tc>
          <w:tcPr>
            <w:tcW w:w="4032" w:type="dxa"/>
            <w:tcMar>
              <w:top w:w="65" w:type="dxa"/>
              <w:left w:w="80" w:type="dxa"/>
              <w:bottom w:w="65" w:type="dxa"/>
              <w:right w:w="80" w:type="dxa"/>
            </w:tcMar>
          </w:tcPr>
          <w:p w14:paraId="393DA54D" w14:textId="77777777" w:rsidR="00CA090B" w:rsidRDefault="00000000">
            <w:r>
              <w:rPr>
                <w:color w:val="000000"/>
              </w:rPr>
              <w:t>Phase 2 disease-specific efficacy evidence; not proof of a transplant benefit or a regulatory indication for MASH.</w:t>
            </w:r>
          </w:p>
        </w:tc>
      </w:tr>
      <w:tr w:rsidR="00CA090B" w14:paraId="30EE395E" w14:textId="77777777" w:rsidTr="00596B3B">
        <w:trPr>
          <w:cantSplit/>
          <w:jc w:val="center"/>
        </w:trPr>
        <w:tc>
          <w:tcPr>
            <w:tcW w:w="2016" w:type="dxa"/>
            <w:shd w:val="clear" w:color="auto" w:fill="F4F5F6"/>
            <w:tcMar>
              <w:top w:w="65" w:type="dxa"/>
              <w:left w:w="80" w:type="dxa"/>
              <w:bottom w:w="65" w:type="dxa"/>
              <w:right w:w="80" w:type="dxa"/>
            </w:tcMar>
          </w:tcPr>
          <w:p w14:paraId="20B24415" w14:textId="77777777" w:rsidR="00CA090B" w:rsidRDefault="00000000">
            <w:r>
              <w:rPr>
                <w:b/>
                <w:color w:val="000000"/>
              </w:rPr>
              <w:t>Current US product labeling [8,20]</w:t>
            </w:r>
          </w:p>
        </w:tc>
        <w:tc>
          <w:tcPr>
            <w:tcW w:w="3168" w:type="dxa"/>
            <w:tcMar>
              <w:top w:w="65" w:type="dxa"/>
              <w:left w:w="80" w:type="dxa"/>
              <w:bottom w:w="65" w:type="dxa"/>
              <w:right w:w="80" w:type="dxa"/>
            </w:tcMar>
          </w:tcPr>
          <w:p w14:paraId="71EA9A97" w14:textId="77777777" w:rsidR="00CA090B" w:rsidRDefault="00000000">
            <w:r>
              <w:rPr>
                <w:color w:val="000000"/>
              </w:rPr>
              <w:t>Regulatory prescribing information; formulation- and indication-specific.</w:t>
            </w:r>
          </w:p>
        </w:tc>
        <w:tc>
          <w:tcPr>
            <w:tcW w:w="3744" w:type="dxa"/>
            <w:tcMar>
              <w:top w:w="65" w:type="dxa"/>
              <w:left w:w="80" w:type="dxa"/>
              <w:bottom w:w="65" w:type="dxa"/>
              <w:right w:w="80" w:type="dxa"/>
            </w:tcMar>
          </w:tcPr>
          <w:p w14:paraId="50397F33" w14:textId="77777777" w:rsidR="00CA090B" w:rsidRDefault="00000000">
            <w:r>
              <w:rPr>
                <w:color w:val="000000"/>
              </w:rPr>
              <w:t>Defines approved populations, contraindications, dose schedules, precautions, and monitoring considerations.</w:t>
            </w:r>
          </w:p>
        </w:tc>
        <w:tc>
          <w:tcPr>
            <w:tcW w:w="4032" w:type="dxa"/>
            <w:tcMar>
              <w:top w:w="65" w:type="dxa"/>
              <w:left w:w="80" w:type="dxa"/>
              <w:bottom w:w="65" w:type="dxa"/>
              <w:right w:w="80" w:type="dxa"/>
            </w:tcMar>
          </w:tcPr>
          <w:p w14:paraId="48D1BA8B" w14:textId="77777777" w:rsidR="00CA090B" w:rsidRDefault="00000000">
            <w:r>
              <w:rPr>
                <w:color w:val="000000"/>
              </w:rPr>
              <w:t>Direct regulatory basis for eligibility and safety checks. Does not prescribe the staffing or specialty model proposed by the authors.</w:t>
            </w:r>
          </w:p>
        </w:tc>
      </w:tr>
      <w:tr w:rsidR="00CA090B" w14:paraId="647A5E52" w14:textId="77777777" w:rsidTr="00596B3B">
        <w:trPr>
          <w:cantSplit/>
          <w:jc w:val="center"/>
        </w:trPr>
        <w:tc>
          <w:tcPr>
            <w:tcW w:w="2016" w:type="dxa"/>
            <w:shd w:val="clear" w:color="auto" w:fill="F4F5F6"/>
            <w:tcMar>
              <w:top w:w="65" w:type="dxa"/>
              <w:left w:w="80" w:type="dxa"/>
              <w:bottom w:w="65" w:type="dxa"/>
              <w:right w:w="80" w:type="dxa"/>
            </w:tcMar>
          </w:tcPr>
          <w:p w14:paraId="3E1BA0F1" w14:textId="77777777" w:rsidR="00CA090B" w:rsidRDefault="00000000">
            <w:r>
              <w:rPr>
                <w:b/>
                <w:color w:val="000000"/>
              </w:rPr>
              <w:t>STEP 1 extension [10]</w:t>
            </w:r>
          </w:p>
        </w:tc>
        <w:tc>
          <w:tcPr>
            <w:tcW w:w="3168" w:type="dxa"/>
            <w:tcMar>
              <w:top w:w="65" w:type="dxa"/>
              <w:left w:w="80" w:type="dxa"/>
              <w:bottom w:w="65" w:type="dxa"/>
              <w:right w:w="80" w:type="dxa"/>
            </w:tcMar>
          </w:tcPr>
          <w:p w14:paraId="44FA1691" w14:textId="77777777" w:rsidR="00CA090B" w:rsidRDefault="00000000">
            <w:r>
              <w:rPr>
                <w:color w:val="000000"/>
              </w:rPr>
              <w:t>Off-treatment follow-up of a trial subset after study medication and the trial lifestyle intervention were discontinued.</w:t>
            </w:r>
          </w:p>
        </w:tc>
        <w:tc>
          <w:tcPr>
            <w:tcW w:w="3744" w:type="dxa"/>
            <w:tcMar>
              <w:top w:w="65" w:type="dxa"/>
              <w:left w:w="80" w:type="dxa"/>
              <w:bottom w:w="65" w:type="dxa"/>
              <w:right w:w="80" w:type="dxa"/>
            </w:tcMar>
          </w:tcPr>
          <w:p w14:paraId="49408A6C" w14:textId="77777777" w:rsidR="00CA090B" w:rsidRDefault="00000000">
            <w:r>
              <w:rPr>
                <w:color w:val="000000"/>
              </w:rPr>
              <w:t>Substantial weight regain occurred after semaglutide withdrawal, with cardiometabolic measures moving toward baseline.</w:t>
            </w:r>
          </w:p>
        </w:tc>
        <w:tc>
          <w:tcPr>
            <w:tcW w:w="4032" w:type="dxa"/>
            <w:tcMar>
              <w:top w:w="65" w:type="dxa"/>
              <w:left w:w="80" w:type="dxa"/>
              <w:bottom w:w="65" w:type="dxa"/>
              <w:right w:w="80" w:type="dxa"/>
            </w:tcMar>
          </w:tcPr>
          <w:p w14:paraId="4C0B3197" w14:textId="77777777" w:rsidR="00CA090B" w:rsidRDefault="00000000">
            <w:r>
              <w:rPr>
                <w:color w:val="000000"/>
              </w:rPr>
              <w:t>Supports maintenance and interruption planning. Selected extension population; not evidence that every patient must remain on one drug indefinitely.</w:t>
            </w:r>
          </w:p>
        </w:tc>
      </w:tr>
      <w:tr w:rsidR="00CA090B" w14:paraId="04D5FA8B" w14:textId="77777777" w:rsidTr="00596B3B">
        <w:trPr>
          <w:cantSplit/>
          <w:jc w:val="center"/>
        </w:trPr>
        <w:tc>
          <w:tcPr>
            <w:tcW w:w="2016" w:type="dxa"/>
            <w:shd w:val="clear" w:color="auto" w:fill="F4F5F6"/>
            <w:tcMar>
              <w:top w:w="65" w:type="dxa"/>
              <w:left w:w="80" w:type="dxa"/>
              <w:bottom w:w="65" w:type="dxa"/>
              <w:right w:w="80" w:type="dxa"/>
            </w:tcMar>
          </w:tcPr>
          <w:p w14:paraId="45816248" w14:textId="77777777" w:rsidR="00CA090B" w:rsidRDefault="00000000">
            <w:r>
              <w:rPr>
                <w:b/>
                <w:color w:val="000000"/>
              </w:rPr>
              <w:t>Im et al. [14]</w:t>
            </w:r>
          </w:p>
        </w:tc>
        <w:tc>
          <w:tcPr>
            <w:tcW w:w="3168" w:type="dxa"/>
            <w:tcMar>
              <w:top w:w="65" w:type="dxa"/>
              <w:left w:w="80" w:type="dxa"/>
              <w:bottom w:w="65" w:type="dxa"/>
              <w:right w:w="80" w:type="dxa"/>
            </w:tcMar>
          </w:tcPr>
          <w:p w14:paraId="0FA42C9D" w14:textId="77777777" w:rsidR="00CA090B" w:rsidRDefault="00000000">
            <w:r>
              <w:rPr>
                <w:color w:val="000000"/>
              </w:rPr>
              <w:t>Cross-sectional US provider survey before resmetirom approval: 304 complete responses from 747 invitations; 260 respondents (86%) worked at a transplant center.</w:t>
            </w:r>
          </w:p>
        </w:tc>
        <w:tc>
          <w:tcPr>
            <w:tcW w:w="3744" w:type="dxa"/>
            <w:tcMar>
              <w:top w:w="65" w:type="dxa"/>
              <w:left w:w="80" w:type="dxa"/>
              <w:bottom w:w="65" w:type="dxa"/>
              <w:right w:w="80" w:type="dxa"/>
            </w:tcMar>
          </w:tcPr>
          <w:p w14:paraId="28504F50" w14:textId="77777777" w:rsidR="00CA090B" w:rsidRDefault="00000000">
            <w:r>
              <w:rPr>
                <w:color w:val="000000"/>
              </w:rPr>
              <w:t>96% believed weight-loss medication could benefit MASLD; 77% never/rarely prescribed it. Training, cost/coverage, and adverse effects were prominent barriers.</w:t>
            </w:r>
          </w:p>
        </w:tc>
        <w:tc>
          <w:tcPr>
            <w:tcW w:w="4032" w:type="dxa"/>
            <w:tcMar>
              <w:top w:w="65" w:type="dxa"/>
              <w:left w:w="80" w:type="dxa"/>
              <w:bottom w:w="65" w:type="dxa"/>
              <w:right w:w="80" w:type="dxa"/>
            </w:tcMar>
          </w:tcPr>
          <w:p w14:paraId="2BFF8675" w14:textId="77777777" w:rsidR="00CA090B" w:rsidRDefault="00000000">
            <w:r>
              <w:rPr>
                <w:color w:val="000000"/>
              </w:rPr>
              <w:t>Self-reported historical practice and potential nonresponse bias; transplant-center representation limits community-GI generalizability. No care-model comparison.</w:t>
            </w:r>
          </w:p>
        </w:tc>
      </w:tr>
      <w:tr w:rsidR="00CA090B" w14:paraId="331BA8B3" w14:textId="77777777" w:rsidTr="00596B3B">
        <w:trPr>
          <w:cantSplit/>
          <w:jc w:val="center"/>
        </w:trPr>
        <w:tc>
          <w:tcPr>
            <w:tcW w:w="2016" w:type="dxa"/>
            <w:shd w:val="clear" w:color="auto" w:fill="F4F5F6"/>
            <w:tcMar>
              <w:top w:w="65" w:type="dxa"/>
              <w:left w:w="80" w:type="dxa"/>
              <w:bottom w:w="65" w:type="dxa"/>
              <w:right w:w="80" w:type="dxa"/>
            </w:tcMar>
          </w:tcPr>
          <w:p w14:paraId="1FF95747" w14:textId="77777777" w:rsidR="00CA090B" w:rsidRDefault="00000000">
            <w:r>
              <w:rPr>
                <w:b/>
                <w:color w:val="000000"/>
              </w:rPr>
              <w:t>Desai, Levine, and Anderson et al. [17-19]</w:t>
            </w:r>
          </w:p>
        </w:tc>
        <w:tc>
          <w:tcPr>
            <w:tcW w:w="3168" w:type="dxa"/>
            <w:tcMar>
              <w:top w:w="65" w:type="dxa"/>
              <w:left w:w="80" w:type="dxa"/>
              <w:bottom w:w="65" w:type="dxa"/>
              <w:right w:w="80" w:type="dxa"/>
            </w:tcMar>
          </w:tcPr>
          <w:p w14:paraId="3B95FBC9" w14:textId="77777777" w:rsidR="00CA090B" w:rsidRDefault="00000000">
            <w:r>
              <w:rPr>
                <w:color w:val="000000"/>
              </w:rPr>
              <w:t>Observational IBD cohorts; different networks and clinical populations.</w:t>
            </w:r>
          </w:p>
        </w:tc>
        <w:tc>
          <w:tcPr>
            <w:tcW w:w="3744" w:type="dxa"/>
            <w:tcMar>
              <w:top w:w="65" w:type="dxa"/>
              <w:left w:w="80" w:type="dxa"/>
              <w:bottom w:w="65" w:type="dxa"/>
              <w:right w:w="80" w:type="dxa"/>
            </w:tcMar>
          </w:tcPr>
          <w:p w14:paraId="03E92251" w14:textId="77777777" w:rsidR="00CA090B" w:rsidRDefault="00000000">
            <w:r>
              <w:rPr>
                <w:color w:val="000000"/>
              </w:rPr>
              <w:t>Weight reduction without a consistent signal of increased measured IBD exacerbation outcomes.</w:t>
            </w:r>
          </w:p>
        </w:tc>
        <w:tc>
          <w:tcPr>
            <w:tcW w:w="4032" w:type="dxa"/>
            <w:tcMar>
              <w:top w:w="65" w:type="dxa"/>
              <w:left w:w="80" w:type="dxa"/>
              <w:bottom w:w="65" w:type="dxa"/>
              <w:right w:w="80" w:type="dxa"/>
            </w:tcMar>
          </w:tcPr>
          <w:p w14:paraId="21D63E2A" w14:textId="77777777" w:rsidR="00CA090B" w:rsidRDefault="00000000">
            <w:r>
              <w:rPr>
                <w:color w:val="000000"/>
              </w:rPr>
              <w:t>GI-specific observational evidence. Confounding and selection remain; incretin drugs are not established IBD treatments.</w:t>
            </w:r>
          </w:p>
        </w:tc>
      </w:tr>
      <w:tr w:rsidR="00CA090B" w14:paraId="16D55A25" w14:textId="77777777" w:rsidTr="00596B3B">
        <w:trPr>
          <w:cantSplit/>
          <w:jc w:val="center"/>
        </w:trPr>
        <w:tc>
          <w:tcPr>
            <w:tcW w:w="2016" w:type="dxa"/>
            <w:shd w:val="clear" w:color="auto" w:fill="F4F5F6"/>
            <w:tcMar>
              <w:top w:w="65" w:type="dxa"/>
              <w:left w:w="80" w:type="dxa"/>
              <w:bottom w:w="65" w:type="dxa"/>
              <w:right w:w="80" w:type="dxa"/>
            </w:tcMar>
          </w:tcPr>
          <w:p w14:paraId="4723B3E4" w14:textId="77777777" w:rsidR="00CA090B" w:rsidRDefault="00000000">
            <w:r>
              <w:rPr>
                <w:b/>
                <w:color w:val="000000"/>
              </w:rPr>
              <w:t>Chiang et al.; He et al. [15,25]</w:t>
            </w:r>
          </w:p>
        </w:tc>
        <w:tc>
          <w:tcPr>
            <w:tcW w:w="3168" w:type="dxa"/>
            <w:tcMar>
              <w:top w:w="65" w:type="dxa"/>
              <w:left w:w="80" w:type="dxa"/>
              <w:bottom w:w="65" w:type="dxa"/>
              <w:right w:w="80" w:type="dxa"/>
            </w:tcMar>
          </w:tcPr>
          <w:p w14:paraId="3FB91C00" w14:textId="77777777" w:rsidR="00CA090B" w:rsidRDefault="00000000">
            <w:r>
              <w:rPr>
                <w:color w:val="000000"/>
              </w:rPr>
              <w:t>Meta-analyses of randomized trials: 55 trials/106,395 participants [15]; 76 trials/103,371 participants [25].</w:t>
            </w:r>
          </w:p>
        </w:tc>
        <w:tc>
          <w:tcPr>
            <w:tcW w:w="3744" w:type="dxa"/>
            <w:tcMar>
              <w:top w:w="65" w:type="dxa"/>
              <w:left w:w="80" w:type="dxa"/>
              <w:bottom w:w="65" w:type="dxa"/>
              <w:right w:w="80" w:type="dxa"/>
            </w:tcMar>
          </w:tcPr>
          <w:p w14:paraId="3B74149A" w14:textId="77777777" w:rsidR="00CA090B" w:rsidRDefault="00000000">
            <w:r>
              <w:rPr>
                <w:color w:val="000000"/>
              </w:rPr>
              <w:t>Chiang et al. found increased cholelithiasis and probable reflux risk. He et al. found increased gallbladder/biliary risk, particularly in weight-loss trials.</w:t>
            </w:r>
          </w:p>
        </w:tc>
        <w:tc>
          <w:tcPr>
            <w:tcW w:w="4032" w:type="dxa"/>
            <w:tcMar>
              <w:top w:w="65" w:type="dxa"/>
              <w:left w:w="80" w:type="dxa"/>
              <w:bottom w:w="65" w:type="dxa"/>
              <w:right w:w="80" w:type="dxa"/>
            </w:tcMar>
          </w:tcPr>
          <w:p w14:paraId="6F47214C" w14:textId="77777777" w:rsidR="00CA090B" w:rsidRDefault="00000000">
            <w:r>
              <w:rPr>
                <w:color w:val="000000"/>
              </w:rPr>
              <w:t>Different endpoints and trial sets; the findings are not independent estimates to combine. Rare-event uncertainty and differences in dose, indication, and exposure limit individual risk prediction.</w:t>
            </w:r>
          </w:p>
        </w:tc>
      </w:tr>
      <w:tr w:rsidR="00CA090B" w14:paraId="3313C1A2" w14:textId="77777777" w:rsidTr="00596B3B">
        <w:trPr>
          <w:cantSplit/>
          <w:jc w:val="center"/>
        </w:trPr>
        <w:tc>
          <w:tcPr>
            <w:tcW w:w="2016" w:type="dxa"/>
            <w:shd w:val="clear" w:color="auto" w:fill="F4F5F6"/>
            <w:tcMar>
              <w:top w:w="65" w:type="dxa"/>
              <w:left w:w="80" w:type="dxa"/>
              <w:bottom w:w="65" w:type="dxa"/>
              <w:right w:w="80" w:type="dxa"/>
            </w:tcMar>
          </w:tcPr>
          <w:p w14:paraId="11F008E6" w14:textId="77777777" w:rsidR="00CA090B" w:rsidRDefault="00000000">
            <w:r>
              <w:rPr>
                <w:b/>
                <w:color w:val="000000"/>
              </w:rPr>
              <w:t>Look et al. [21]</w:t>
            </w:r>
          </w:p>
        </w:tc>
        <w:tc>
          <w:tcPr>
            <w:tcW w:w="3168" w:type="dxa"/>
            <w:tcMar>
              <w:top w:w="65" w:type="dxa"/>
              <w:left w:w="80" w:type="dxa"/>
              <w:bottom w:w="65" w:type="dxa"/>
              <w:right w:w="80" w:type="dxa"/>
            </w:tcMar>
          </w:tcPr>
          <w:p w14:paraId="40920FA9" w14:textId="77777777" w:rsidR="00CA090B" w:rsidRDefault="00000000">
            <w:r>
              <w:rPr>
                <w:color w:val="000000"/>
              </w:rPr>
              <w:t>Prespecified DXA substudy; 160 participants with baseline and follow-up scans at week 72 or early discontinuation (124 tirzepatide, 36 placebo).</w:t>
            </w:r>
          </w:p>
        </w:tc>
        <w:tc>
          <w:tcPr>
            <w:tcW w:w="3744" w:type="dxa"/>
            <w:tcMar>
              <w:top w:w="65" w:type="dxa"/>
              <w:left w:w="80" w:type="dxa"/>
              <w:bottom w:w="65" w:type="dxa"/>
              <w:right w:w="80" w:type="dxa"/>
            </w:tcMar>
          </w:tcPr>
          <w:p w14:paraId="3E6F9166" w14:textId="77777777" w:rsidR="00CA090B" w:rsidRDefault="00000000">
            <w:r>
              <w:rPr>
                <w:color w:val="000000"/>
              </w:rPr>
              <w:t>Approximately 75% of lost weight was fat mass and 25% lean mass in both groups.</w:t>
            </w:r>
          </w:p>
        </w:tc>
        <w:tc>
          <w:tcPr>
            <w:tcW w:w="4032" w:type="dxa"/>
            <w:tcMar>
              <w:top w:w="65" w:type="dxa"/>
              <w:left w:w="80" w:type="dxa"/>
              <w:bottom w:w="65" w:type="dxa"/>
              <w:right w:w="80" w:type="dxa"/>
            </w:tcMar>
          </w:tcPr>
          <w:p w14:paraId="5929C913" w14:textId="77777777" w:rsidR="00CA090B" w:rsidRDefault="00000000">
            <w:r>
              <w:rPr>
                <w:color w:val="000000"/>
              </w:rPr>
              <w:t>Selected body-composition cohort; three missing week-72 values were imputed from the last observation. Lean mass is not a measure of strength or a diagnosis of sarcopenia.</w:t>
            </w:r>
          </w:p>
        </w:tc>
      </w:tr>
      <w:tr w:rsidR="00CA090B" w14:paraId="176B178E" w14:textId="77777777" w:rsidTr="00596B3B">
        <w:trPr>
          <w:cantSplit/>
          <w:jc w:val="center"/>
        </w:trPr>
        <w:tc>
          <w:tcPr>
            <w:tcW w:w="2016" w:type="dxa"/>
            <w:shd w:val="clear" w:color="auto" w:fill="F4F5F6"/>
            <w:tcMar>
              <w:top w:w="65" w:type="dxa"/>
              <w:left w:w="80" w:type="dxa"/>
              <w:bottom w:w="65" w:type="dxa"/>
              <w:right w:w="80" w:type="dxa"/>
            </w:tcMar>
          </w:tcPr>
          <w:p w14:paraId="17F834A1" w14:textId="77777777" w:rsidR="00CA090B" w:rsidRDefault="00000000">
            <w:r>
              <w:rPr>
                <w:b/>
                <w:color w:val="000000"/>
              </w:rPr>
              <w:t>Yates et al. [26]</w:t>
            </w:r>
          </w:p>
        </w:tc>
        <w:tc>
          <w:tcPr>
            <w:tcW w:w="3168" w:type="dxa"/>
            <w:tcMar>
              <w:top w:w="65" w:type="dxa"/>
              <w:left w:w="80" w:type="dxa"/>
              <w:bottom w:w="65" w:type="dxa"/>
              <w:right w:w="80" w:type="dxa"/>
            </w:tcMar>
          </w:tcPr>
          <w:p w14:paraId="2807B09F" w14:textId="77777777" w:rsidR="00CA090B" w:rsidRDefault="00000000">
            <w:r>
              <w:rPr>
                <w:color w:val="000000"/>
              </w:rPr>
              <w:t>Pharmacist-led weight-management service evaluation in cardiology.</w:t>
            </w:r>
          </w:p>
        </w:tc>
        <w:tc>
          <w:tcPr>
            <w:tcW w:w="3744" w:type="dxa"/>
            <w:tcMar>
              <w:top w:w="65" w:type="dxa"/>
              <w:left w:w="80" w:type="dxa"/>
              <w:bottom w:w="65" w:type="dxa"/>
              <w:right w:w="80" w:type="dxa"/>
            </w:tcMar>
          </w:tcPr>
          <w:p w14:paraId="4A0F9D13" w14:textId="77777777" w:rsidR="00CA090B" w:rsidRDefault="00000000">
            <w:r>
              <w:rPr>
                <w:color w:val="000000"/>
              </w:rPr>
              <w:t>Reported improvement in weight-related outcomes in a non-GI service.</w:t>
            </w:r>
          </w:p>
        </w:tc>
        <w:tc>
          <w:tcPr>
            <w:tcW w:w="4032" w:type="dxa"/>
            <w:tcMar>
              <w:top w:w="65" w:type="dxa"/>
              <w:left w:w="80" w:type="dxa"/>
              <w:bottom w:w="65" w:type="dxa"/>
              <w:right w:w="80" w:type="dxa"/>
            </w:tcMar>
          </w:tcPr>
          <w:p w14:paraId="5409CF86" w14:textId="77777777" w:rsidR="00CA090B" w:rsidRDefault="00000000">
            <w:r>
              <w:rPr>
                <w:color w:val="000000"/>
              </w:rPr>
              <w:t>Indirect implementation evidence. Does not demonstrate transferability, effectiveness, or cost savings in GI clinics.</w:t>
            </w:r>
          </w:p>
        </w:tc>
      </w:tr>
      <w:tr w:rsidR="00CA090B" w14:paraId="2BDF5EE0" w14:textId="77777777" w:rsidTr="00596B3B">
        <w:trPr>
          <w:cantSplit/>
          <w:jc w:val="center"/>
        </w:trPr>
        <w:tc>
          <w:tcPr>
            <w:tcW w:w="2016" w:type="dxa"/>
            <w:shd w:val="clear" w:color="auto" w:fill="F4F5F6"/>
            <w:tcMar>
              <w:top w:w="65" w:type="dxa"/>
              <w:left w:w="80" w:type="dxa"/>
              <w:bottom w:w="65" w:type="dxa"/>
              <w:right w:w="80" w:type="dxa"/>
            </w:tcMar>
          </w:tcPr>
          <w:p w14:paraId="02736E31" w14:textId="77777777" w:rsidR="00CA090B" w:rsidRDefault="00000000">
            <w:r>
              <w:rPr>
                <w:b/>
                <w:color w:val="000000"/>
              </w:rPr>
              <w:t>Miller et al. [27]</w:t>
            </w:r>
          </w:p>
        </w:tc>
        <w:tc>
          <w:tcPr>
            <w:tcW w:w="3168" w:type="dxa"/>
            <w:tcMar>
              <w:top w:w="65" w:type="dxa"/>
              <w:left w:w="80" w:type="dxa"/>
              <w:bottom w:w="65" w:type="dxa"/>
              <w:right w:w="80" w:type="dxa"/>
            </w:tcMar>
          </w:tcPr>
          <w:p w14:paraId="21570BD8" w14:textId="77777777" w:rsidR="00CA090B" w:rsidRDefault="00000000">
            <w:r>
              <w:rPr>
                <w:color w:val="000000"/>
              </w:rPr>
              <w:t>Uncontrolled service evaluation in two primary care clinics; 120 patients with type 2 diabetes.</w:t>
            </w:r>
          </w:p>
        </w:tc>
        <w:tc>
          <w:tcPr>
            <w:tcW w:w="3744" w:type="dxa"/>
            <w:tcMar>
              <w:top w:w="65" w:type="dxa"/>
              <w:left w:w="80" w:type="dxa"/>
              <w:bottom w:w="65" w:type="dxa"/>
              <w:right w:w="80" w:type="dxa"/>
            </w:tcMar>
          </w:tcPr>
          <w:p w14:paraId="236E203C" w14:textId="77777777" w:rsidR="00CA090B" w:rsidRDefault="00000000">
            <w:r>
              <w:rPr>
                <w:color w:val="000000"/>
              </w:rPr>
              <w:t>Mean HbA1c decreased by 1.8 percentage points at 3–6 months after titration; weight decreased by 8.1 kg in 107 patients with measurements. Mean 6.5 pharmacist encounters per patient.</w:t>
            </w:r>
          </w:p>
        </w:tc>
        <w:tc>
          <w:tcPr>
            <w:tcW w:w="4032" w:type="dxa"/>
            <w:tcMar>
              <w:top w:w="65" w:type="dxa"/>
              <w:left w:w="80" w:type="dxa"/>
              <w:bottom w:w="65" w:type="dxa"/>
              <w:right w:w="80" w:type="dxa"/>
            </w:tcMar>
          </w:tcPr>
          <w:p w14:paraId="52D76235" w14:textId="77777777" w:rsidR="00CA090B" w:rsidRDefault="00000000">
            <w:r>
              <w:rPr>
                <w:color w:val="000000"/>
              </w:rPr>
              <w:t>Indirect pre/post evidence without a randomized usual-care comparator. Medication effects, selection, and other care may contribute; no GI-specific effectiveness or staffing standard established.</w:t>
            </w:r>
          </w:p>
        </w:tc>
      </w:tr>
      <w:tr w:rsidR="00CA090B" w14:paraId="5E927AFD" w14:textId="77777777" w:rsidTr="00596B3B">
        <w:trPr>
          <w:cantSplit/>
          <w:jc w:val="center"/>
        </w:trPr>
        <w:tc>
          <w:tcPr>
            <w:tcW w:w="2016" w:type="dxa"/>
            <w:shd w:val="clear" w:color="auto" w:fill="F4F5F6"/>
            <w:tcMar>
              <w:top w:w="65" w:type="dxa"/>
              <w:left w:w="80" w:type="dxa"/>
              <w:bottom w:w="65" w:type="dxa"/>
              <w:right w:w="80" w:type="dxa"/>
            </w:tcMar>
          </w:tcPr>
          <w:p w14:paraId="33478620" w14:textId="77777777" w:rsidR="00CA090B" w:rsidRDefault="00000000">
            <w:r>
              <w:rPr>
                <w:b/>
                <w:color w:val="000000"/>
              </w:rPr>
              <w:t>Weng et al. [28]</w:t>
            </w:r>
          </w:p>
        </w:tc>
        <w:tc>
          <w:tcPr>
            <w:tcW w:w="3168" w:type="dxa"/>
            <w:tcMar>
              <w:top w:w="65" w:type="dxa"/>
              <w:left w:w="80" w:type="dxa"/>
              <w:bottom w:w="65" w:type="dxa"/>
              <w:right w:w="80" w:type="dxa"/>
            </w:tcMar>
          </w:tcPr>
          <w:p w14:paraId="59F14FCB" w14:textId="77777777" w:rsidR="00CA090B" w:rsidRDefault="00000000">
            <w:r>
              <w:rPr>
                <w:color w:val="000000"/>
              </w:rPr>
              <w:t>Retrospective MASLD cohort; 29 patients with baseline FIB-4 ≥1.3 in the higher-risk analysis; cirrhosis excluded.</w:t>
            </w:r>
          </w:p>
        </w:tc>
        <w:tc>
          <w:tcPr>
            <w:tcW w:w="3744" w:type="dxa"/>
            <w:tcMar>
              <w:top w:w="65" w:type="dxa"/>
              <w:left w:w="80" w:type="dxa"/>
              <w:bottom w:w="65" w:type="dxa"/>
              <w:right w:w="80" w:type="dxa"/>
            </w:tcMar>
          </w:tcPr>
          <w:p w14:paraId="198EF43E" w14:textId="77777777" w:rsidR="00CA090B" w:rsidRDefault="00000000">
            <w:r>
              <w:rPr>
                <w:color w:val="000000"/>
              </w:rPr>
              <w:t>FIB-4 and liver enzymes decreased over 12 months.</w:t>
            </w:r>
          </w:p>
        </w:tc>
        <w:tc>
          <w:tcPr>
            <w:tcW w:w="4032" w:type="dxa"/>
            <w:tcMar>
              <w:top w:w="65" w:type="dxa"/>
              <w:left w:w="80" w:type="dxa"/>
              <w:bottom w:w="65" w:type="dxa"/>
              <w:right w:w="80" w:type="dxa"/>
            </w:tcMar>
          </w:tcPr>
          <w:p w14:paraId="1C3CABAB" w14:textId="77777777" w:rsidR="00CA090B" w:rsidRDefault="00000000">
            <w:r>
              <w:rPr>
                <w:color w:val="000000"/>
              </w:rPr>
              <w:t>GI-relevant surrogate outcomes. Small uncontrolled analysis; lower FIB-4 is not proof of histologic fibrosis regression.</w:t>
            </w:r>
          </w:p>
        </w:tc>
      </w:tr>
      <w:tr w:rsidR="00CA090B" w14:paraId="60D3AE2B" w14:textId="77777777" w:rsidTr="00596B3B">
        <w:trPr>
          <w:cantSplit/>
          <w:jc w:val="center"/>
        </w:trPr>
        <w:tc>
          <w:tcPr>
            <w:tcW w:w="2016" w:type="dxa"/>
            <w:shd w:val="clear" w:color="auto" w:fill="F4F5F6"/>
            <w:tcMar>
              <w:top w:w="65" w:type="dxa"/>
              <w:left w:w="80" w:type="dxa"/>
              <w:bottom w:w="65" w:type="dxa"/>
              <w:right w:w="80" w:type="dxa"/>
            </w:tcMar>
          </w:tcPr>
          <w:p w14:paraId="34851AC5" w14:textId="77777777" w:rsidR="00CA090B" w:rsidRDefault="00000000">
            <w:r>
              <w:rPr>
                <w:b/>
                <w:color w:val="000000"/>
              </w:rPr>
              <w:t>Endoscopy guidance; Ahmed et al. [30-32]</w:t>
            </w:r>
          </w:p>
        </w:tc>
        <w:tc>
          <w:tcPr>
            <w:tcW w:w="3168" w:type="dxa"/>
            <w:tcMar>
              <w:top w:w="65" w:type="dxa"/>
              <w:left w:w="80" w:type="dxa"/>
              <w:bottom w:w="65" w:type="dxa"/>
              <w:right w:w="80" w:type="dxa"/>
            </w:tcMar>
          </w:tcPr>
          <w:p w14:paraId="7160CFC1" w14:textId="77777777" w:rsidR="00CA090B" w:rsidRDefault="00000000">
            <w:r>
              <w:rPr>
                <w:color w:val="000000"/>
              </w:rPr>
              <w:t>AGA/multisociety guidance and a meta-analysis of comparative endoscopy studies.</w:t>
            </w:r>
          </w:p>
        </w:tc>
        <w:tc>
          <w:tcPr>
            <w:tcW w:w="3744" w:type="dxa"/>
            <w:tcMar>
              <w:top w:w="65" w:type="dxa"/>
              <w:left w:w="80" w:type="dxa"/>
              <w:bottom w:w="65" w:type="dxa"/>
              <w:right w:w="80" w:type="dxa"/>
            </w:tcMar>
          </w:tcPr>
          <w:p w14:paraId="2A0F174D" w14:textId="77777777" w:rsidR="00CA090B" w:rsidRDefault="00000000">
            <w:r>
              <w:rPr>
                <w:color w:val="000000"/>
              </w:rPr>
              <w:t>Higher gastric retention and cancellations were reported; an aspiration increase was not statistically clear.</w:t>
            </w:r>
          </w:p>
        </w:tc>
        <w:tc>
          <w:tcPr>
            <w:tcW w:w="4032" w:type="dxa"/>
            <w:tcMar>
              <w:top w:w="65" w:type="dxa"/>
              <w:left w:w="80" w:type="dxa"/>
              <w:bottom w:w="65" w:type="dxa"/>
              <w:right w:w="80" w:type="dxa"/>
            </w:tcMar>
          </w:tcPr>
          <w:p w14:paraId="1FFDA5F0" w14:textId="77777777" w:rsidR="00CA090B" w:rsidRDefault="00000000">
            <w:r>
              <w:rPr>
                <w:color w:val="000000"/>
              </w:rPr>
              <w:t>Supports coordinated risk assessment. Heterogeneity and imprecision preclude treating a nonsignificant aspiration result as proof of no risk.</w:t>
            </w:r>
          </w:p>
        </w:tc>
      </w:tr>
      <w:tr w:rsidR="00CA090B" w14:paraId="39CD573A" w14:textId="77777777" w:rsidTr="00596B3B">
        <w:trPr>
          <w:cantSplit/>
          <w:jc w:val="center"/>
        </w:trPr>
        <w:tc>
          <w:tcPr>
            <w:tcW w:w="2016" w:type="dxa"/>
            <w:shd w:val="clear" w:color="auto" w:fill="F4F5F6"/>
            <w:tcMar>
              <w:top w:w="65" w:type="dxa"/>
              <w:left w:w="80" w:type="dxa"/>
              <w:bottom w:w="65" w:type="dxa"/>
              <w:right w:w="80" w:type="dxa"/>
            </w:tcMar>
          </w:tcPr>
          <w:p w14:paraId="33CD9A7D" w14:textId="77777777" w:rsidR="00CA090B" w:rsidRDefault="00000000">
            <w:r>
              <w:rPr>
                <w:b/>
                <w:color w:val="000000"/>
              </w:rPr>
              <w:t>Sarcopenia and nutrition guidance [22-24]</w:t>
            </w:r>
          </w:p>
        </w:tc>
        <w:tc>
          <w:tcPr>
            <w:tcW w:w="3168" w:type="dxa"/>
            <w:tcMar>
              <w:top w:w="65" w:type="dxa"/>
              <w:left w:w="80" w:type="dxa"/>
              <w:bottom w:w="65" w:type="dxa"/>
              <w:right w:w="80" w:type="dxa"/>
            </w:tcMar>
          </w:tcPr>
          <w:p w14:paraId="71AC7257" w14:textId="77777777" w:rsidR="00CA090B" w:rsidRDefault="00000000">
            <w:r>
              <w:rPr>
                <w:color w:val="000000"/>
              </w:rPr>
              <w:t>European sarcopenia consensus, joint obesity nutrition advisory, and AASLD cirrhosis practice guidance.</w:t>
            </w:r>
          </w:p>
        </w:tc>
        <w:tc>
          <w:tcPr>
            <w:tcW w:w="3744" w:type="dxa"/>
            <w:tcMar>
              <w:top w:w="65" w:type="dxa"/>
              <w:left w:w="80" w:type="dxa"/>
              <w:bottom w:w="65" w:type="dxa"/>
              <w:right w:w="80" w:type="dxa"/>
            </w:tcMar>
          </w:tcPr>
          <w:p w14:paraId="7FAB7800" w14:textId="77777777" w:rsidR="00CA090B" w:rsidRDefault="00000000">
            <w:r>
              <w:rPr>
                <w:color w:val="000000"/>
              </w:rPr>
              <w:t>Emphasizes functional assessment, adequate nutrition, and attention to vulnerable patients.</w:t>
            </w:r>
          </w:p>
        </w:tc>
        <w:tc>
          <w:tcPr>
            <w:tcW w:w="4032" w:type="dxa"/>
            <w:tcMar>
              <w:top w:w="65" w:type="dxa"/>
              <w:left w:w="80" w:type="dxa"/>
              <w:bottom w:w="65" w:type="dxa"/>
              <w:right w:w="80" w:type="dxa"/>
            </w:tcMar>
          </w:tcPr>
          <w:p w14:paraId="702796B3" w14:textId="77777777" w:rsidR="00CA090B" w:rsidRDefault="00000000">
            <w:r>
              <w:rPr>
                <w:color w:val="000000"/>
              </w:rPr>
              <w:t>Professional guidance, not testing of this algorithm. The proposed 3-month functional reassessment interval is an author-selected implementation option.</w:t>
            </w:r>
          </w:p>
        </w:tc>
      </w:tr>
      <w:tr w:rsidR="00CA090B" w14:paraId="7FC73C82" w14:textId="77777777" w:rsidTr="00596B3B">
        <w:trPr>
          <w:cantSplit/>
          <w:jc w:val="center"/>
        </w:trPr>
        <w:tc>
          <w:tcPr>
            <w:tcW w:w="2016" w:type="dxa"/>
            <w:shd w:val="clear" w:color="auto" w:fill="F4F5F6"/>
            <w:tcMar>
              <w:top w:w="65" w:type="dxa"/>
              <w:left w:w="80" w:type="dxa"/>
              <w:bottom w:w="65" w:type="dxa"/>
              <w:right w:w="80" w:type="dxa"/>
            </w:tcMar>
          </w:tcPr>
          <w:p w14:paraId="15980BD6" w14:textId="77777777" w:rsidR="00CA090B" w:rsidRDefault="00000000">
            <w:r>
              <w:rPr>
                <w:b/>
                <w:color w:val="000000"/>
              </w:rPr>
              <w:t>Loomba et al., compensated cirrhosis [29]</w:t>
            </w:r>
          </w:p>
        </w:tc>
        <w:tc>
          <w:tcPr>
            <w:tcW w:w="3168" w:type="dxa"/>
            <w:tcMar>
              <w:top w:w="65" w:type="dxa"/>
              <w:left w:w="80" w:type="dxa"/>
              <w:bottom w:w="65" w:type="dxa"/>
              <w:right w:w="80" w:type="dxa"/>
            </w:tcMar>
          </w:tcPr>
          <w:p w14:paraId="050ADA53" w14:textId="77777777" w:rsidR="00CA090B" w:rsidRDefault="00000000">
            <w:r>
              <w:rPr>
                <w:color w:val="000000"/>
              </w:rPr>
              <w:t>48-week placebo-controlled phase 2 trial; 71 patients with compensated MASH-related cirrhosis.</w:t>
            </w:r>
          </w:p>
        </w:tc>
        <w:tc>
          <w:tcPr>
            <w:tcW w:w="3744" w:type="dxa"/>
            <w:tcMar>
              <w:top w:w="65" w:type="dxa"/>
              <w:left w:w="80" w:type="dxa"/>
              <w:bottom w:w="65" w:type="dxa"/>
              <w:right w:w="80" w:type="dxa"/>
            </w:tcMar>
          </w:tcPr>
          <w:p w14:paraId="0C6663DE" w14:textId="77777777" w:rsidR="00CA090B" w:rsidRDefault="00000000">
            <w:r>
              <w:rPr>
                <w:color w:val="000000"/>
              </w:rPr>
              <w:t>No significant primary fibrosis benefit; no reported decompensation events or deaths.</w:t>
            </w:r>
          </w:p>
        </w:tc>
        <w:tc>
          <w:tcPr>
            <w:tcW w:w="4032" w:type="dxa"/>
            <w:tcMar>
              <w:top w:w="65" w:type="dxa"/>
              <w:left w:w="80" w:type="dxa"/>
              <w:bottom w:w="65" w:type="dxa"/>
              <w:right w:w="80" w:type="dxa"/>
            </w:tcMar>
          </w:tcPr>
          <w:p w14:paraId="4F11FA96" w14:textId="77777777" w:rsidR="00CA090B" w:rsidRDefault="00000000">
            <w:r>
              <w:rPr>
                <w:color w:val="000000"/>
              </w:rPr>
              <w:t>A small selected trial. Neither antifibrotic efficacy in cirrhosis nor safety in decompensated or transplant populations is established.</w:t>
            </w:r>
          </w:p>
        </w:tc>
      </w:tr>
      <w:tr w:rsidR="00CA090B" w14:paraId="48829A26" w14:textId="77777777" w:rsidTr="00596B3B">
        <w:trPr>
          <w:cantSplit/>
          <w:jc w:val="center"/>
        </w:trPr>
        <w:tc>
          <w:tcPr>
            <w:tcW w:w="2016" w:type="dxa"/>
            <w:shd w:val="clear" w:color="auto" w:fill="F4F5F6"/>
            <w:tcMar>
              <w:top w:w="65" w:type="dxa"/>
              <w:left w:w="80" w:type="dxa"/>
              <w:bottom w:w="65" w:type="dxa"/>
              <w:right w:w="80" w:type="dxa"/>
            </w:tcMar>
          </w:tcPr>
          <w:p w14:paraId="19693646" w14:textId="77777777" w:rsidR="00CA090B" w:rsidRDefault="00000000">
            <w:r>
              <w:rPr>
                <w:b/>
                <w:color w:val="000000"/>
              </w:rPr>
              <w:t>PHQ-9 and GAD-7 validation studies [33,34]</w:t>
            </w:r>
          </w:p>
        </w:tc>
        <w:tc>
          <w:tcPr>
            <w:tcW w:w="3168" w:type="dxa"/>
            <w:tcMar>
              <w:top w:w="65" w:type="dxa"/>
              <w:left w:w="80" w:type="dxa"/>
              <w:bottom w:w="65" w:type="dxa"/>
              <w:right w:w="80" w:type="dxa"/>
            </w:tcMar>
          </w:tcPr>
          <w:p w14:paraId="7453D665" w14:textId="77777777" w:rsidR="00CA090B" w:rsidRDefault="00000000">
            <w:r>
              <w:rPr>
                <w:color w:val="000000"/>
              </w:rPr>
              <w:t>Validation of brief depression and anxiety measures in clinical settings.</w:t>
            </w:r>
          </w:p>
        </w:tc>
        <w:tc>
          <w:tcPr>
            <w:tcW w:w="3744" w:type="dxa"/>
            <w:tcMar>
              <w:top w:w="65" w:type="dxa"/>
              <w:left w:w="80" w:type="dxa"/>
              <w:bottom w:w="65" w:type="dxa"/>
              <w:right w:w="80" w:type="dxa"/>
            </w:tcMar>
          </w:tcPr>
          <w:p w14:paraId="4F54DF05" w14:textId="77777777" w:rsidR="00CA090B" w:rsidRDefault="00000000">
            <w:r>
              <w:rPr>
                <w:color w:val="000000"/>
              </w:rPr>
              <w:t>Supports use as symptom-assessment tools; a score ≥10 indicates the need for further assessment.</w:t>
            </w:r>
          </w:p>
        </w:tc>
        <w:tc>
          <w:tcPr>
            <w:tcW w:w="4032" w:type="dxa"/>
            <w:tcMar>
              <w:top w:w="65" w:type="dxa"/>
              <w:left w:w="80" w:type="dxa"/>
              <w:bottom w:w="65" w:type="dxa"/>
              <w:right w:w="80" w:type="dxa"/>
            </w:tcMar>
          </w:tcPr>
          <w:p w14:paraId="05FCA640" w14:textId="77777777" w:rsidR="00CA090B" w:rsidRDefault="00000000">
            <w:r>
              <w:rPr>
                <w:color w:val="000000"/>
              </w:rPr>
              <w:t>Not validated as incretin-eligibility tests. A positive result is not a diagnosis or an automatic reason to deny treatment.</w:t>
            </w:r>
          </w:p>
        </w:tc>
      </w:tr>
      <w:tr w:rsidR="00CA090B" w14:paraId="4E71C84B" w14:textId="77777777" w:rsidTr="00596B3B">
        <w:trPr>
          <w:cantSplit/>
          <w:jc w:val="center"/>
        </w:trPr>
        <w:tc>
          <w:tcPr>
            <w:tcW w:w="2016" w:type="dxa"/>
            <w:shd w:val="clear" w:color="auto" w:fill="F4F5F6"/>
            <w:tcMar>
              <w:top w:w="65" w:type="dxa"/>
              <w:left w:w="80" w:type="dxa"/>
              <w:bottom w:w="65" w:type="dxa"/>
              <w:right w:w="80" w:type="dxa"/>
            </w:tcMar>
          </w:tcPr>
          <w:p w14:paraId="556086C9" w14:textId="77777777" w:rsidR="00CA090B" w:rsidRDefault="00000000">
            <w:r>
              <w:rPr>
                <w:b/>
                <w:color w:val="000000"/>
              </w:rPr>
              <w:t>WHO guideline announcement [36]</w:t>
            </w:r>
          </w:p>
        </w:tc>
        <w:tc>
          <w:tcPr>
            <w:tcW w:w="3168" w:type="dxa"/>
            <w:tcMar>
              <w:top w:w="65" w:type="dxa"/>
              <w:left w:w="80" w:type="dxa"/>
              <w:bottom w:w="65" w:type="dxa"/>
              <w:right w:w="80" w:type="dxa"/>
            </w:tcMar>
          </w:tcPr>
          <w:p w14:paraId="731FA4D5" w14:textId="77777777" w:rsidR="00CA090B" w:rsidRDefault="00000000">
            <w:r>
              <w:rPr>
                <w:color w:val="000000"/>
              </w:rPr>
              <w:t>Official WHO summary of its guidance on long-term GLP-1-based obesity treatment.</w:t>
            </w:r>
          </w:p>
        </w:tc>
        <w:tc>
          <w:tcPr>
            <w:tcW w:w="3744" w:type="dxa"/>
            <w:tcMar>
              <w:top w:w="65" w:type="dxa"/>
              <w:left w:w="80" w:type="dxa"/>
              <w:bottom w:w="65" w:type="dxa"/>
              <w:right w:w="80" w:type="dxa"/>
            </w:tcMar>
          </w:tcPr>
          <w:p w14:paraId="20037B16" w14:textId="77777777" w:rsidR="00CA090B" w:rsidRDefault="00000000">
            <w:r>
              <w:rPr>
                <w:color w:val="000000"/>
              </w:rPr>
              <w:t>Conditional recommendations emphasize comprehensive care, affordability, equity, and system capacity.</w:t>
            </w:r>
          </w:p>
        </w:tc>
        <w:tc>
          <w:tcPr>
            <w:tcW w:w="4032" w:type="dxa"/>
            <w:tcMar>
              <w:top w:w="65" w:type="dxa"/>
              <w:left w:w="80" w:type="dxa"/>
              <w:bottom w:w="65" w:type="dxa"/>
              <w:right w:w="80" w:type="dxa"/>
            </w:tcMar>
          </w:tcPr>
          <w:p w14:paraId="4095D0A3" w14:textId="77777777" w:rsidR="00CA090B" w:rsidRDefault="00000000">
            <w:r>
              <w:rPr>
                <w:color w:val="000000"/>
              </w:rPr>
              <w:t>Supports international adaptation; does not endorse this GI-specific staffing or referral framework.</w:t>
            </w:r>
          </w:p>
        </w:tc>
      </w:tr>
    </w:tbl>
    <w:p w14:paraId="29FE7EC9" w14:textId="657FF18A" w:rsidR="00596B3B" w:rsidRDefault="00596B3B">
      <w:pPr>
        <w:rPr>
          <w:rFonts w:eastAsia="宋体" w:hint="eastAsia"/>
          <w:lang w:eastAsia="zh-CN"/>
        </w:rPr>
      </w:pPr>
      <w:r>
        <w:rPr>
          <w:rFonts w:eastAsia="Times New Roman"/>
          <w:color w:val="000000"/>
        </w:rPr>
        <w:t>Selected influential sources and their relevance to the proposed framework. Reference numbers match the manuscript. This is not an exhaustive review or a formal risk-of-bias assessment. Care pathways, staffing arrangements, and outcome measures are author proposals without prospective validation; the manuscript itself is not an independent source of supporting evidence.</w:t>
      </w:r>
    </w:p>
    <w:p w14:paraId="7E1DBF3B" w14:textId="16893D39" w:rsidR="00CA090B" w:rsidRDefault="00000000">
      <w:r>
        <w:t>AGA, American Gastroenterological Association; AASLD, American Association for the Study of Liver Diseases; HbA1c, glycated hemoglobin; DXA, dual-energy X-ray absorptiometry; FIB-4, fibrosis-4 index; GI, gastroenterology or gastrointestinal; GLP-1, glucagon-like peptide-1; IBD, inflammatory bowel disease; MASLD, metabolic dysfunction-associated steatotic liver disease; MASH, metabolic dysfunction-associated steatohepatitis; PHQ-9, Patient Health Questionnaire-9; GAD-7, Generalized Anxiety Disorder-7; WHO, World Health Organization. Historic study terminology is retained in reference titles; MASH is used in the narrative description.</w:t>
      </w:r>
    </w:p>
    <w:p w14:paraId="6CE89134" w14:textId="4DBE2049" w:rsidR="00CA090B" w:rsidRDefault="00000000">
      <w:pPr>
        <w:keepNext/>
        <w:pageBreakBefore/>
        <w:spacing w:before="160"/>
      </w:pPr>
      <w:r>
        <w:rPr>
          <w:rFonts w:eastAsia="Times New Roman"/>
          <w:b/>
          <w:color w:val="000000"/>
        </w:rPr>
        <w:t>References</w:t>
      </w:r>
    </w:p>
    <w:p w14:paraId="311757F3" w14:textId="77777777" w:rsidR="00CA090B" w:rsidRDefault="00000000">
      <w:pPr>
        <w:keepLines/>
        <w:ind w:left="403" w:hanging="403"/>
      </w:pPr>
      <w:r>
        <w:t>3. Wilding JPH, Batterham RL, Calanna S, Davies M, Van Gaal LF, Lingvay I, McGowan BM, et al. Once-weekly semaglutide in adults with overweight or obesity. N Engl J Med. 2021;384(11):989-1002. doi:10.1056/NEJMoa2032183.</w:t>
      </w:r>
    </w:p>
    <w:p w14:paraId="6795DA05" w14:textId="77777777" w:rsidR="00CA090B" w:rsidRDefault="00000000">
      <w:pPr>
        <w:keepLines/>
        <w:ind w:left="403" w:hanging="403"/>
      </w:pPr>
      <w:r>
        <w:t>4. Jastreboff AM, Aronne LJ, Ahmad NN, Wharton S, Connery L, Alves B, Kiyosue A, et al. Tirzepatide once weekly for the treatment of obesity. N Engl J Med. 2022;387(3):205-216. doi:10.1056/NEJMoa2206038.</w:t>
      </w:r>
    </w:p>
    <w:p w14:paraId="7AD9DC5C" w14:textId="77777777" w:rsidR="00CA090B" w:rsidRDefault="00000000">
      <w:pPr>
        <w:keepLines/>
        <w:ind w:left="403" w:hanging="403"/>
      </w:pPr>
      <w:r>
        <w:t>5. Lincoff AM, Brown-Frandsen K, Colhoun HM, Deanfield J, Emerson SS, Esbjerg S, Hardt-Lindberg S, et al. Semaglutide and cardiovascular outcomes in obesity without diabetes. N Engl J Med. 2023;389(24):2221-2232. doi:10.1056/NEJMoa2307563.</w:t>
      </w:r>
    </w:p>
    <w:p w14:paraId="12E7C0DE" w14:textId="77777777" w:rsidR="00CA090B" w:rsidRDefault="00000000">
      <w:pPr>
        <w:keepLines/>
        <w:ind w:left="403" w:hanging="403"/>
      </w:pPr>
      <w:r>
        <w:t>6. Sanyal AJ, Newsome PN, Kliers I, Østergaard LH, Long MT, Kjær MS, Cali AMG, et al. Phase 3 trial of semaglutide in metabolic dysfunction-associated steatohepatitis. N Engl J Med. 2025;392(21):2089-2099. doi:10.1056/NEJMoa2413258.</w:t>
      </w:r>
    </w:p>
    <w:p w14:paraId="5FDEB979" w14:textId="77777777" w:rsidR="00CA090B" w:rsidRDefault="00000000">
      <w:pPr>
        <w:keepLines/>
        <w:ind w:left="403" w:hanging="403"/>
      </w:pPr>
      <w:r>
        <w:t>7. Loomba R, Hartman ML, Lawitz EJ, Vuppalanchi R, Boursier J, Bugianesi E, Yoneda M, et al. Tirzepatide for metabolic dysfunction-associated steatohepatitis with liver fibrosis. N Engl J Med. 2024;391(4):299-310. doi:10.1056/NEJMoa2401943.</w:t>
      </w:r>
    </w:p>
    <w:p w14:paraId="7E7E32F7" w14:textId="77777777" w:rsidR="00CA090B" w:rsidRDefault="00000000">
      <w:pPr>
        <w:keepLines/>
        <w:ind w:left="403" w:hanging="403"/>
      </w:pPr>
      <w:r>
        <w:t>8. Novo Nordisk Inc. Wegovy (semaglutide) injection and tablets: US prescribing information. Revised June 2026. https://www.novo-pi.com/wegovy.pdf. Accessed September 23, 2026.</w:t>
      </w:r>
    </w:p>
    <w:p w14:paraId="4A763008" w14:textId="77777777" w:rsidR="00CA090B" w:rsidRDefault="00000000">
      <w:pPr>
        <w:keepLines/>
        <w:ind w:left="403" w:hanging="403"/>
      </w:pPr>
      <w:r>
        <w:t>10. Wilding JPH, Batterham RL, Davies M, Van Gaal LF, Kandler K, Konakli K, Lingvay I, et al. Weight regain and cardiometabolic effects after withdrawal of semaglutide: the STEP 1 trial extension. Diabetes Obes Metab. 2022;24(8):1553-1564. doi:10.1111/dom.14725.</w:t>
      </w:r>
    </w:p>
    <w:p w14:paraId="331D77F3" w14:textId="77777777" w:rsidR="00CA090B" w:rsidRDefault="00000000">
      <w:pPr>
        <w:keepLines/>
        <w:ind w:left="403" w:hanging="403"/>
      </w:pPr>
      <w:r>
        <w:t>14. Im GY, Asgharpour A, Aby ES, Stine JG, Mellinger JL, Luther J, Izzy M, et al. Medications for weight loss and MASLD: a national survey of hepatology and gastroenterology provider practices, attitudes, and knowledge before resmetirom. J Clin Gastroenterol. 2026;60(8):750-757. doi:10.1097/MCG.0000000000002147.</w:t>
      </w:r>
    </w:p>
    <w:p w14:paraId="0C8F8557" w14:textId="77777777" w:rsidR="00CA090B" w:rsidRDefault="00000000">
      <w:pPr>
        <w:keepLines/>
        <w:ind w:left="403" w:hanging="403"/>
      </w:pPr>
      <w:r>
        <w:t>15. Chiang CH, Jaroenlapnopparat A, Colak SC, Yu CC, Xanthavanij N, Wang TH, See XY, et al. Glucagon-like peptide-1 receptor agonists and gastrointestinal adverse events: a systematic review and meta-analysis. Gastroenterology. 2025;169(6):1268-1281. doi:10.1053/j.gastro.2025.06.003.</w:t>
      </w:r>
    </w:p>
    <w:p w14:paraId="78FB08D5" w14:textId="77777777" w:rsidR="00CA090B" w:rsidRDefault="00000000">
      <w:pPr>
        <w:keepLines/>
        <w:ind w:left="403" w:hanging="403"/>
      </w:pPr>
      <w:r>
        <w:t>17. Desai A, Khataniar H, Hashash JG, Farraye FA, Regueiro M, Kochhar GS. Effectiveness and safety of semaglutide for weight loss in patients with inflammatory bowel disease and obesity. Inflamm Bowel Dis. 2025;31(3):696-705. doi:10.1093/ibd/izae090.</w:t>
      </w:r>
    </w:p>
    <w:p w14:paraId="518ED65A" w14:textId="77777777" w:rsidR="00CA090B" w:rsidRDefault="00000000">
      <w:pPr>
        <w:keepLines/>
        <w:ind w:left="403" w:hanging="403"/>
      </w:pPr>
      <w:r>
        <w:t>18. Levine I, Sekhri S, Schreiber-Stainthorp W, Locke B, Delau O, Elhawary M, Pandit K, et al. GLP-1 receptor agonists confer no increased rates of IBD exacerbation among patients with IBD. Inflamm Bowel Dis. 2025;31(2):467-475. doi:10.1093/ibd/izae250.</w:t>
      </w:r>
    </w:p>
    <w:p w14:paraId="6FC22803" w14:textId="77777777" w:rsidR="00CA090B" w:rsidRDefault="00000000">
      <w:pPr>
        <w:keepLines/>
        <w:ind w:left="403" w:hanging="403"/>
      </w:pPr>
      <w:r>
        <w:t>19. Anderson SR, Ayoub M, Coats S, McHenry S, Tan T, Deepak P. Safety and effectiveness of glucagon-like peptide-1 receptor agonists in inflammatory bowel disease. Am J Gastroenterol. 2025;120(5):1152-1155. doi:10.14309/ajg.0000000000003208.</w:t>
      </w:r>
    </w:p>
    <w:p w14:paraId="0685FBD2" w14:textId="77777777" w:rsidR="00CA090B" w:rsidRDefault="00000000">
      <w:pPr>
        <w:keepLines/>
        <w:ind w:left="403" w:hanging="403"/>
      </w:pPr>
      <w:r>
        <w:t>20. Eli Lilly and Company. Zepbound (tirzepatide) injection: US prescribing information. https://pi.lilly.com/us/zepbound-uspi.pdf. Accessed September 23, 2026.</w:t>
      </w:r>
    </w:p>
    <w:p w14:paraId="5D1A5D29" w14:textId="77777777" w:rsidR="00CA090B" w:rsidRDefault="00000000">
      <w:pPr>
        <w:keepLines/>
        <w:ind w:left="403" w:hanging="403"/>
      </w:pPr>
      <w:r>
        <w:t>21. Look M, Dunn JP, Kushner RF, Cao D, Harris C, Gibble TH, Stefanski A, et al. Body composition changes during weight reduction with tirzepatide in the SURMOUNT-1 study of adults with obesity or overweight. Diabetes Obes Metab. 2025;27(5):2720-2729. doi:10.1111/dom.16275.</w:t>
      </w:r>
    </w:p>
    <w:p w14:paraId="5774DEBC" w14:textId="77777777" w:rsidR="00CA090B" w:rsidRDefault="00000000">
      <w:pPr>
        <w:keepLines/>
        <w:ind w:left="403" w:hanging="403"/>
      </w:pPr>
      <w:r>
        <w:t>22. Cruz-Jentoft AJ, Bahat G, Bauer J, Boirie Y, Bruyère O, Cederholm T, Cooper C, et al. Sarcopenia: revised European consensus on definition and diagnosis. Age Ageing. 2019;48(1):16-31. doi:10.1093/ageing/afy169.</w:t>
      </w:r>
    </w:p>
    <w:p w14:paraId="3991C144" w14:textId="77777777" w:rsidR="00CA090B" w:rsidRDefault="00000000">
      <w:pPr>
        <w:keepLines/>
        <w:ind w:left="403" w:hanging="403"/>
      </w:pPr>
      <w:r>
        <w:t>23. Mozaffarian D, Agarwal M, Aggarwal M, Alexander L, Apovian CM, Bindlish S, Bonnet J, et al. Nutritional priorities to support GLP-1 therapy for obesity: a joint advisory from the American College of Lifestyle Medicine, the American Society for Nutrition, the Obesity Medicine Association, and the Obesity Society. Obes Pillars. 2025;15:100181. doi:10.1016/j.obpill.2025.100181.</w:t>
      </w:r>
    </w:p>
    <w:p w14:paraId="27B027EB" w14:textId="77777777" w:rsidR="00CA090B" w:rsidRDefault="00000000">
      <w:pPr>
        <w:keepLines/>
        <w:ind w:left="403" w:hanging="403"/>
      </w:pPr>
      <w:r>
        <w:t>24. Lai JC, Tandon P, Bernal W, Tapper EB, Ekong U, Dasarathy S, Carey EJ. Malnutrition, frailty, and sarcopenia in patients with cirrhosis: 2021 practice guidance by the American Association for the Study of Liver Diseases. Hepatology. 2021;74(3):1611-1644. doi:10.1002/hep.32049.</w:t>
      </w:r>
    </w:p>
    <w:p w14:paraId="2BF83086" w14:textId="77777777" w:rsidR="00CA090B" w:rsidRDefault="00000000">
      <w:pPr>
        <w:keepLines/>
        <w:ind w:left="403" w:hanging="403"/>
      </w:pPr>
      <w:r>
        <w:t>25. He L, Wang J, Ping F, Yang N, Huang J, Li Y, Xu L, et al. Association of glucagon-like peptide-1 receptor agonist use with risk of gallbladder and biliary diseases: a systematic review and meta-analysis of randomized clinical trials. JAMA Intern Med. 2022;182(5):513-519. doi:10.1001/jamainternmed.2022.0338.</w:t>
      </w:r>
    </w:p>
    <w:p w14:paraId="6B6A4976" w14:textId="77777777" w:rsidR="00CA090B" w:rsidRDefault="00000000">
      <w:pPr>
        <w:keepLines/>
        <w:ind w:left="403" w:hanging="403"/>
      </w:pPr>
      <w:r>
        <w:t>26. Yates M, Supple M, Maccia M. Impact of a pharmacist-led weight management service in a cardiology clinic. J Am Pharm Assoc (2003). 2024;64(2):557-563. doi:10.1016/j.japh.2023.11.011.</w:t>
      </w:r>
    </w:p>
    <w:p w14:paraId="67912A54" w14:textId="77777777" w:rsidR="00CA090B" w:rsidRDefault="00000000">
      <w:pPr>
        <w:keepLines/>
        <w:ind w:left="403" w:hanging="403"/>
      </w:pPr>
      <w:r>
        <w:t>27. Miller K, Carson E, Boothe K, Brown B. Implementation and evaluation of a pharmacist-led glucagon-like peptide-1 receptor agonist titration service in two primary care clinics. J Am Pharm Assoc (2003). 2025;65(3):102385. doi:10.1016/j.japh.2025.102385.</w:t>
      </w:r>
    </w:p>
    <w:p w14:paraId="4711B919" w14:textId="77777777" w:rsidR="00CA090B" w:rsidRDefault="00000000">
      <w:pPr>
        <w:keepLines/>
        <w:ind w:left="403" w:hanging="403"/>
      </w:pPr>
      <w:r>
        <w:t>28. Weng J, Huang A, Berake TB, Chen SL, Yan BM, Karagozian R. Glucagon-like peptide-1 receptor agonist therapy reduces fibrosis-4 index in metabolic dysfunction-associated steatotic liver disease. Gastroenterol Res. 2026;19(3):147-154. doi:10.14740/gr2136.</w:t>
      </w:r>
    </w:p>
    <w:p w14:paraId="0DF6D318" w14:textId="77777777" w:rsidR="00CA090B" w:rsidRDefault="00000000">
      <w:pPr>
        <w:keepLines/>
        <w:ind w:left="403" w:hanging="403"/>
      </w:pPr>
      <w:r>
        <w:t>29. Loomba R, Abdelmalek MF, Armstrong MJ, Jara M, Kjaer MS, Krarup N, Lawitz E, et al. Semaglutide 2.4 mg once weekly in patients with non-alcoholic steatohepatitis-related cirrhosis: a randomised, placebo-controlled phase 2 trial. Lancet Gastroenterol Hepatol. 2023;8(6):511-522. doi:10.1016/S2468-1253(23)00068-7.</w:t>
      </w:r>
    </w:p>
    <w:p w14:paraId="510CFF7B" w14:textId="77777777" w:rsidR="00CA090B" w:rsidRDefault="00000000">
      <w:pPr>
        <w:keepLines/>
        <w:ind w:left="403" w:hanging="403"/>
      </w:pPr>
      <w:r>
        <w:t>30. Hashash JG, Thompson CC, Wang AY. AGA rapid clinical practice update on the management of patients taking GLP-1 receptor agonists prior to endoscopy: communication. Clin Gastroenterol Hepatol. 2024;22(4):705-707. doi:10.1016/j.cgh.2023.11.002.</w:t>
      </w:r>
    </w:p>
    <w:p w14:paraId="7AB201A0" w14:textId="77777777" w:rsidR="00CA090B" w:rsidRDefault="00000000">
      <w:pPr>
        <w:keepLines/>
        <w:ind w:left="403" w:hanging="403"/>
      </w:pPr>
      <w:r>
        <w:t>31. Kindel TL, Wang AY, Wadhwa A, Schulman AR, Sharaiha RZ, Kroh M, Ghanem OM, et al. Multi-society clinical practice guidance for the safe use of glucagon-like peptide-1 receptor agonists in the perioperative period. Surg Endosc. 2025;39(1):180-183. doi:10.1007/s00464-024-11263-2.</w:t>
      </w:r>
    </w:p>
    <w:p w14:paraId="19F53F34" w14:textId="77777777" w:rsidR="00CA090B" w:rsidRDefault="00000000">
      <w:pPr>
        <w:keepLines/>
        <w:ind w:left="403" w:hanging="403"/>
      </w:pPr>
      <w:r>
        <w:t>32. Ahmed Z, Iqbal A, Ghazaleh S, Kobeissy A, Nawras A, Alastal Y, Saad H, et al. Evaluating glucagon-like peptide-1 receptor agonist safety before upper endoscopy: a systematic review and meta-analysis. Gastroenterol Res. 2026;19(2):64-73. doi:10.14740/gr2108.</w:t>
      </w:r>
    </w:p>
    <w:p w14:paraId="70866CE7" w14:textId="77777777" w:rsidR="00CA090B" w:rsidRDefault="00000000">
      <w:pPr>
        <w:keepLines/>
        <w:ind w:left="403" w:hanging="403"/>
      </w:pPr>
      <w:r>
        <w:t>33. Kroenke K, Spitzer RL, Williams JBW. The PHQ-9: validity of a brief depression severity measure. J Gen Intern Med. 2001;16(9):606-613. doi:10.1046/j.1525-1497.2001.016009606.x.</w:t>
      </w:r>
    </w:p>
    <w:p w14:paraId="700CD0E7" w14:textId="77777777" w:rsidR="00CA090B" w:rsidRDefault="00000000">
      <w:pPr>
        <w:keepLines/>
        <w:ind w:left="403" w:hanging="403"/>
      </w:pPr>
      <w:r>
        <w:t>34. Spitzer RL, Kroenke K, Williams JBW, Löwe B. A brief measure for assessing generalized anxiety disorder: the GAD-7. Arch Intern Med. 2006;166(10):1092-1097. doi:10.1001/archinte.166.10.1092.</w:t>
      </w:r>
    </w:p>
    <w:p w14:paraId="36B718D7" w14:textId="77777777" w:rsidR="00CA090B" w:rsidRDefault="00000000">
      <w:pPr>
        <w:keepLines/>
        <w:ind w:left="403" w:hanging="403"/>
      </w:pPr>
      <w:r>
        <w:t>36. World Health Organization. WHO issues global guideline on the use of GLP-1 medicines in treating obesity. December 1, 2025. https://www.who.int/news/item/01-12-2025-who-issues-global-guideline-on-the-use-of-glp-1-medicines-in-treating-obesity. Accessed September 23, 2026.</w:t>
      </w:r>
    </w:p>
    <w:sectPr w:rsidR="00CA090B" w:rsidSect="001329E1">
      <w:footerReference w:type="default" r:id="rId8"/>
      <w:pgSz w:w="15840" w:h="12240" w:orient="landscape"/>
      <w:pgMar w:top="1440" w:right="1440" w:bottom="1440" w:left="144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BC6E" w14:textId="77777777" w:rsidR="004C000C" w:rsidRDefault="004C000C">
      <w:pPr>
        <w:spacing w:line="240" w:lineRule="auto"/>
      </w:pPr>
      <w:r>
        <w:separator/>
      </w:r>
    </w:p>
  </w:endnote>
  <w:endnote w:type="continuationSeparator" w:id="0">
    <w:p w14:paraId="54ED1F0D" w14:textId="77777777" w:rsidR="004C000C" w:rsidRDefault="004C00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251C3" w14:textId="77777777" w:rsidR="00CA090B" w:rsidRDefault="00000000">
    <w:pPr>
      <w:pStyle w:val="a7"/>
      <w:jc w:val="center"/>
    </w:pPr>
    <w:r>
      <w:rPr>
        <w:rFonts w:eastAsia="Times New Roman"/>
        <w:color w:val="000000"/>
        <w:sz w:val="20"/>
      </w:rPr>
      <w:t xml:space="preserve">Page </w:t>
    </w:r>
    <w:r>
      <w:fldChar w:fldCharType="begin"/>
    </w:r>
    <w:r>
      <w:instrText>PAGE</w:instrText>
    </w:r>
    <w:r>
      <w:fldChar w:fldCharType="separate"/>
    </w:r>
    <w:r w:rsidR="00684E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278F" w14:textId="77777777" w:rsidR="004C000C" w:rsidRDefault="004C000C">
      <w:pPr>
        <w:spacing w:line="240" w:lineRule="auto"/>
      </w:pPr>
      <w:r>
        <w:separator/>
      </w:r>
    </w:p>
  </w:footnote>
  <w:footnote w:type="continuationSeparator" w:id="0">
    <w:p w14:paraId="4FCA55E2" w14:textId="77777777" w:rsidR="004C000C" w:rsidRDefault="004C00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307852">
    <w:abstractNumId w:val="8"/>
  </w:num>
  <w:num w:numId="2" w16cid:durableId="1291983648">
    <w:abstractNumId w:val="6"/>
  </w:num>
  <w:num w:numId="3" w16cid:durableId="421950056">
    <w:abstractNumId w:val="5"/>
  </w:num>
  <w:num w:numId="4" w16cid:durableId="177429151">
    <w:abstractNumId w:val="4"/>
  </w:num>
  <w:num w:numId="5" w16cid:durableId="659193651">
    <w:abstractNumId w:val="7"/>
  </w:num>
  <w:num w:numId="6" w16cid:durableId="1268392224">
    <w:abstractNumId w:val="3"/>
  </w:num>
  <w:num w:numId="7" w16cid:durableId="429548394">
    <w:abstractNumId w:val="2"/>
  </w:num>
  <w:num w:numId="8" w16cid:durableId="51468097">
    <w:abstractNumId w:val="1"/>
  </w:num>
  <w:num w:numId="9" w16cid:durableId="885292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29E1"/>
    <w:rsid w:val="0015074B"/>
    <w:rsid w:val="0029639D"/>
    <w:rsid w:val="00326F90"/>
    <w:rsid w:val="003F73B2"/>
    <w:rsid w:val="004B6269"/>
    <w:rsid w:val="004C000C"/>
    <w:rsid w:val="00596B3B"/>
    <w:rsid w:val="00684EDE"/>
    <w:rsid w:val="00AA1D8D"/>
    <w:rsid w:val="00B47730"/>
    <w:rsid w:val="00CA090B"/>
    <w:rsid w:val="00CB0664"/>
    <w:rsid w:val="00EA3C95"/>
    <w:rsid w:val="00F01A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C9FC27"/>
  <w14:defaultImageDpi w14:val="300"/>
  <w15:docId w15:val="{AC86A752-F022-42B6-A2FE-DD7F1A2A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48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line number"/>
    <w:basedOn w:val="a2"/>
    <w:uiPriority w:val="99"/>
    <w:semiHidden/>
    <w:unhideWhenUsed/>
    <w:rsid w:val="0068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2243</Words>
  <Characters>12790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GR2182 supplementary evidence map and proposed outcome measures</dc:title>
  <dc:subject>Second-pass revision for author review</dc:subject>
  <dc:creator>George Salem and coauthors</dc:creator>
  <cp:keywords/>
  <dc:description/>
  <cp:lastModifiedBy>May R</cp:lastModifiedBy>
  <cp:revision>3</cp:revision>
  <dcterms:created xsi:type="dcterms:W3CDTF">2026-10-04T11:44:00Z</dcterms:created>
  <dcterms:modified xsi:type="dcterms:W3CDTF">2026-10-04T11:47:00Z</dcterms:modified>
  <cp:category/>
</cp:coreProperties>
</file>