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915DE" w14:textId="58467FAD" w:rsidR="0096029A" w:rsidRDefault="0096029A" w:rsidP="00001DE0">
      <w:pPr>
        <w:keepNext/>
        <w:pageBreakBefore/>
        <w:spacing w:before="160"/>
        <w:rPr>
          <w:rFonts w:hint="eastAsia"/>
          <w:lang w:eastAsia="zh-CN"/>
        </w:rPr>
      </w:pPr>
      <w:r>
        <w:rPr>
          <w:rFonts w:eastAsia="Times New Roman"/>
          <w:b/>
          <w:color w:val="000000"/>
        </w:rPr>
        <w:t>Suppl</w:t>
      </w:r>
      <w:r w:rsidR="00520D0C">
        <w:rPr>
          <w:rFonts w:hint="eastAsia"/>
          <w:b/>
          <w:color w:val="000000"/>
          <w:lang w:eastAsia="zh-CN"/>
        </w:rPr>
        <w:t xml:space="preserve"> </w:t>
      </w:r>
      <w:r>
        <w:rPr>
          <w:rFonts w:eastAsia="Times New Roman"/>
          <w:b/>
          <w:color w:val="000000"/>
        </w:rPr>
        <w:t>2. Candidate Measures for Evaluating a GI Incretin Pathway</w:t>
      </w:r>
    </w:p>
    <w:tbl>
      <w:tblPr>
        <w:tblW w:w="5000" w:type="pct"/>
        <w:jc w:val="center"/>
        <w:tblBorders>
          <w:top w:val="single" w:sz="4" w:space="0" w:color="AAB2BA"/>
          <w:left w:val="single" w:sz="4" w:space="0" w:color="AAB2BA"/>
          <w:bottom w:val="single" w:sz="4" w:space="0" w:color="AAB2BA"/>
          <w:right w:val="single" w:sz="4" w:space="0" w:color="AAB2BA"/>
          <w:insideH w:val="single" w:sz="4" w:space="0" w:color="AAB2BA"/>
          <w:insideV w:val="single" w:sz="4" w:space="0" w:color="AAB2BA"/>
        </w:tblBorders>
        <w:tblLook w:val="04A0" w:firstRow="1" w:lastRow="0" w:firstColumn="1" w:lastColumn="0" w:noHBand="0" w:noVBand="1"/>
      </w:tblPr>
      <w:tblGrid>
        <w:gridCol w:w="2171"/>
        <w:gridCol w:w="5113"/>
        <w:gridCol w:w="6664"/>
      </w:tblGrid>
      <w:tr w:rsidR="0096029A" w14:paraId="59EDB604" w14:textId="77777777" w:rsidTr="0096029A">
        <w:trPr>
          <w:cantSplit/>
          <w:tblHeader/>
          <w:jc w:val="center"/>
        </w:trPr>
        <w:tc>
          <w:tcPr>
            <w:tcW w:w="778" w:type="pct"/>
            <w:shd w:val="clear" w:color="auto" w:fill="E8ECF0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D48A3C4" w14:textId="77777777" w:rsidR="0096029A" w:rsidRDefault="0096029A" w:rsidP="002150A6">
            <w:r>
              <w:rPr>
                <w:b/>
                <w:color w:val="000000"/>
              </w:rPr>
              <w:t>Candidate indicator</w:t>
            </w:r>
          </w:p>
        </w:tc>
        <w:tc>
          <w:tcPr>
            <w:tcW w:w="1833" w:type="pct"/>
            <w:shd w:val="clear" w:color="auto" w:fill="E8ECF0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6BF5FEF" w14:textId="77777777" w:rsidR="0096029A" w:rsidRDefault="0096029A" w:rsidP="002150A6">
            <w:r>
              <w:rPr>
                <w:b/>
                <w:color w:val="000000"/>
              </w:rPr>
              <w:t>Operational definition</w:t>
            </w:r>
          </w:p>
        </w:tc>
        <w:tc>
          <w:tcPr>
            <w:tcW w:w="2389" w:type="pct"/>
            <w:shd w:val="clear" w:color="auto" w:fill="E8ECF0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6D02379" w14:textId="77777777" w:rsidR="0096029A" w:rsidRDefault="0096029A" w:rsidP="002150A6">
            <w:r>
              <w:rPr>
                <w:b/>
                <w:color w:val="000000"/>
              </w:rPr>
              <w:t>Timing / denominator and interpretation</w:t>
            </w:r>
          </w:p>
        </w:tc>
      </w:tr>
      <w:tr w:rsidR="0096029A" w14:paraId="2AD7881D" w14:textId="77777777" w:rsidTr="0096029A">
        <w:trPr>
          <w:cantSplit/>
          <w:jc w:val="center"/>
        </w:trPr>
        <w:tc>
          <w:tcPr>
            <w:tcW w:w="778" w:type="pct"/>
            <w:shd w:val="clear" w:color="auto" w:fill="F4F5F6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F6CA839" w14:textId="77777777" w:rsidR="0096029A" w:rsidRDefault="0096029A" w:rsidP="002150A6">
            <w:r>
              <w:rPr>
                <w:b/>
                <w:color w:val="000000"/>
              </w:rPr>
              <w:t>Weight response</w:t>
            </w:r>
          </w:p>
        </w:tc>
        <w:tc>
          <w:tcPr>
            <w:tcW w:w="1833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67E5458" w14:textId="77777777" w:rsidR="0096029A" w:rsidRDefault="0096029A" w:rsidP="002150A6">
            <w:r>
              <w:rPr>
                <w:color w:val="000000"/>
              </w:rPr>
              <w:t>Percentage weight loss = 100 × (baseline weight − follow-up weight) / baseline weight. Report ≥5%, ≥10%, and ≥15% achievement and the distribution of change.</w:t>
            </w:r>
          </w:p>
        </w:tc>
        <w:tc>
          <w:tcPr>
            <w:tcW w:w="2389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776924E" w14:textId="77777777" w:rsidR="0096029A" w:rsidRDefault="0096029A" w:rsidP="002150A6">
            <w:r>
              <w:rPr>
                <w:color w:val="000000"/>
              </w:rPr>
              <w:t>Assess at 6 and 12 months within a prespecified window (e.g., ±30 days). Among initiators with time to reach the assessment, report documented responders/all eligible initiators and responders/observed weights. Show missing outcomes separately; unknown is not biological nonresponse.</w:t>
            </w:r>
          </w:p>
        </w:tc>
      </w:tr>
      <w:tr w:rsidR="0096029A" w14:paraId="7FEAF006" w14:textId="77777777" w:rsidTr="0096029A">
        <w:trPr>
          <w:cantSplit/>
          <w:jc w:val="center"/>
        </w:trPr>
        <w:tc>
          <w:tcPr>
            <w:tcW w:w="778" w:type="pct"/>
            <w:shd w:val="clear" w:color="auto" w:fill="F4F5F6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98D88D8" w14:textId="77777777" w:rsidR="0096029A" w:rsidRDefault="0096029A" w:rsidP="002150A6">
            <w:r>
              <w:rPr>
                <w:b/>
                <w:color w:val="000000"/>
              </w:rPr>
              <w:lastRenderedPageBreak/>
              <w:t>Persistence and interruptions</w:t>
            </w:r>
          </w:p>
        </w:tc>
        <w:tc>
          <w:tcPr>
            <w:tcW w:w="1833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5C784CF" w14:textId="77777777" w:rsidR="0096029A" w:rsidRDefault="0096029A" w:rsidP="002150A6">
            <w:r>
              <w:rPr>
                <w:color w:val="000000"/>
              </w:rPr>
              <w:t>Distinguish persistence on the original agent from persistence on any incretin therapy. Record switches, planned holds, supply gaps, discontinuation, and unknown status. Prespecify a gap definition (e.g., &gt;30 days without available drug).</w:t>
            </w:r>
          </w:p>
        </w:tc>
        <w:tc>
          <w:tcPr>
            <w:tcW w:w="2389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23ED7D5" w14:textId="77777777" w:rsidR="0096029A" w:rsidRDefault="0096029A" w:rsidP="002150A6">
            <w:r>
              <w:rPr>
                <w:color w:val="000000"/>
              </w:rPr>
              <w:t>At 6 and 12 months, use initiators with sufficient elapsed follow-up opportunity. Confirm exposure using dispensing records and patient report when available. Separate access, intolerance, and preference. A registry gap definition is not a safe restart-dose rule.</w:t>
            </w:r>
          </w:p>
        </w:tc>
      </w:tr>
      <w:tr w:rsidR="0096029A" w14:paraId="5726B11C" w14:textId="77777777" w:rsidTr="0096029A">
        <w:trPr>
          <w:cantSplit/>
          <w:jc w:val="center"/>
        </w:trPr>
        <w:tc>
          <w:tcPr>
            <w:tcW w:w="778" w:type="pct"/>
            <w:shd w:val="clear" w:color="auto" w:fill="F4F5F6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3071ABA" w14:textId="77777777" w:rsidR="0096029A" w:rsidRDefault="0096029A" w:rsidP="002150A6">
            <w:r>
              <w:rPr>
                <w:b/>
                <w:color w:val="000000"/>
              </w:rPr>
              <w:t>Urgent healthcare use</w:t>
            </w:r>
          </w:p>
        </w:tc>
        <w:tc>
          <w:tcPr>
            <w:tcW w:w="1833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29937D8" w14:textId="77777777" w:rsidR="0096029A" w:rsidRDefault="0096029A" w:rsidP="002150A6">
            <w:r>
              <w:rPr>
                <w:color w:val="000000"/>
              </w:rPr>
              <w:t>Record emergency visits and admissions, including the number of events and patients affected. Separately classify clinically reviewed events as potentially treatment-related; record the reason and timing.</w:t>
            </w:r>
          </w:p>
        </w:tc>
        <w:tc>
          <w:tcPr>
            <w:tcW w:w="2389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B00576C" w14:textId="77777777" w:rsidR="0096029A" w:rsidRDefault="0096029A" w:rsidP="002150A6">
            <w:r>
              <w:rPr>
                <w:color w:val="000000"/>
              </w:rPr>
              <w:t>Cumulative to 6 and 12 months, with the number of initiators and observed follow-up or person-time. Distinguish all-cause use from suspected related events; billing codes alone do not establish causation.</w:t>
            </w:r>
          </w:p>
        </w:tc>
      </w:tr>
      <w:tr w:rsidR="0096029A" w14:paraId="2B62B09D" w14:textId="77777777" w:rsidTr="0096029A">
        <w:trPr>
          <w:cantSplit/>
          <w:jc w:val="center"/>
        </w:trPr>
        <w:tc>
          <w:tcPr>
            <w:tcW w:w="778" w:type="pct"/>
            <w:shd w:val="clear" w:color="auto" w:fill="F4F5F6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2656827" w14:textId="77777777" w:rsidR="0096029A" w:rsidRDefault="0096029A" w:rsidP="002150A6">
            <w:r>
              <w:rPr>
                <w:b/>
                <w:color w:val="000000"/>
              </w:rPr>
              <w:t>Nutritional and functional safety</w:t>
            </w:r>
          </w:p>
        </w:tc>
        <w:tc>
          <w:tcPr>
            <w:tcW w:w="1833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7593FA4" w14:textId="77777777" w:rsidR="0096029A" w:rsidRDefault="0096029A" w:rsidP="002150A6">
            <w:r>
              <w:rPr>
                <w:color w:val="000000"/>
              </w:rPr>
              <w:t>Record new clinically assessed malnutrition, intake-limiting symptoms, nutrition-related dose modification, and deterioration in the same strength or functional measure in higher-risk patients.</w:t>
            </w:r>
          </w:p>
        </w:tc>
        <w:tc>
          <w:tcPr>
            <w:tcW w:w="2389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5EB3526" w14:textId="77777777" w:rsidR="0096029A" w:rsidRDefault="0096029A" w:rsidP="002150A6">
            <w:r>
              <w:rPr>
                <w:color w:val="000000"/>
              </w:rPr>
              <w:t>Review intake at routine contacts; repeat function at approximately 3 months in higher-risk patients or earlier with deterioration. Report the assessed denominator and measure used. Weight loss or lower DXA lean mass alone does not diagnose sarcopenia.</w:t>
            </w:r>
          </w:p>
        </w:tc>
      </w:tr>
      <w:tr w:rsidR="0096029A" w14:paraId="296DD2B8" w14:textId="77777777" w:rsidTr="0096029A">
        <w:trPr>
          <w:cantSplit/>
          <w:jc w:val="center"/>
        </w:trPr>
        <w:tc>
          <w:tcPr>
            <w:tcW w:w="778" w:type="pct"/>
            <w:shd w:val="clear" w:color="auto" w:fill="F4F5F6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41E3C00" w14:textId="77777777" w:rsidR="0096029A" w:rsidRDefault="0096029A" w:rsidP="002150A6">
            <w:r>
              <w:rPr>
                <w:b/>
                <w:color w:val="000000"/>
              </w:rPr>
              <w:t>Liver-related response</w:t>
            </w:r>
          </w:p>
        </w:tc>
        <w:tc>
          <w:tcPr>
            <w:tcW w:w="1833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6F08B18" w14:textId="77777777" w:rsidR="0096029A" w:rsidRDefault="0096029A" w:rsidP="002150A6">
            <w:r>
              <w:rPr>
                <w:color w:val="000000"/>
              </w:rPr>
              <w:t>Describe liver enzymes and clinically indicated FIB-4, elastography, or other disease-specific assessments. Document new decompensation when relevant.</w:t>
            </w:r>
          </w:p>
        </w:tc>
        <w:tc>
          <w:tcPr>
            <w:tcW w:w="2389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514C8F3" w14:textId="77777777" w:rsidR="0096029A" w:rsidRDefault="0096029A" w:rsidP="002150A6">
            <w:r>
              <w:rPr>
                <w:color w:val="000000"/>
              </w:rPr>
              <w:t>Use appropriate clinical intervals, not additional tests solely for a registry. State liver phenotype and testing denominator. Surrogate improvement is not proof of histologic fibrosis regression; fluid retention can confound weight trends.</w:t>
            </w:r>
          </w:p>
        </w:tc>
      </w:tr>
      <w:tr w:rsidR="0096029A" w14:paraId="48DAB2D7" w14:textId="77777777" w:rsidTr="0096029A">
        <w:trPr>
          <w:cantSplit/>
          <w:jc w:val="center"/>
        </w:trPr>
        <w:tc>
          <w:tcPr>
            <w:tcW w:w="778" w:type="pct"/>
            <w:shd w:val="clear" w:color="auto" w:fill="F4F5F6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5399869" w14:textId="77777777" w:rsidR="0096029A" w:rsidRDefault="0096029A" w:rsidP="002150A6">
            <w:r>
              <w:rPr>
                <w:b/>
                <w:color w:val="000000"/>
              </w:rPr>
              <w:t>Patient experience</w:t>
            </w:r>
          </w:p>
        </w:tc>
        <w:tc>
          <w:tcPr>
            <w:tcW w:w="1833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D98DD7F" w14:textId="77777777" w:rsidR="0096029A" w:rsidRDefault="0096029A" w:rsidP="002150A6">
            <w:r>
              <w:rPr>
                <w:color w:val="000000"/>
              </w:rPr>
              <w:t>Assess the patient’s goals, treatment burden, tolerability, satisfaction, and preference to continue. Identify the instrument or exact local question used.</w:t>
            </w:r>
          </w:p>
        </w:tc>
        <w:tc>
          <w:tcPr>
            <w:tcW w:w="2389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C76139A" w14:textId="77777777" w:rsidR="0096029A" w:rsidRDefault="0096029A" w:rsidP="002150A6">
            <w:r>
              <w:rPr>
                <w:color w:val="000000"/>
              </w:rPr>
              <w:t>Document baseline goals and assess at 6/12 months where feasible. Report the numbers invited and responding. A local item may be useful but should not be described as a validated instrument.</w:t>
            </w:r>
          </w:p>
        </w:tc>
      </w:tr>
      <w:tr w:rsidR="0096029A" w14:paraId="419BCBA4" w14:textId="77777777" w:rsidTr="0096029A">
        <w:trPr>
          <w:cantSplit/>
          <w:jc w:val="center"/>
        </w:trPr>
        <w:tc>
          <w:tcPr>
            <w:tcW w:w="778" w:type="pct"/>
            <w:shd w:val="clear" w:color="auto" w:fill="F4F5F6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90BCF48" w14:textId="77777777" w:rsidR="0096029A" w:rsidRDefault="0096029A" w:rsidP="002150A6">
            <w:r>
              <w:rPr>
                <w:b/>
                <w:color w:val="000000"/>
              </w:rPr>
              <w:t>Access and equity</w:t>
            </w:r>
          </w:p>
        </w:tc>
        <w:tc>
          <w:tcPr>
            <w:tcW w:w="1833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51BA339" w14:textId="77777777" w:rsidR="0096029A" w:rsidRDefault="0096029A" w:rsidP="002150A6">
            <w:r>
              <w:rPr>
                <w:color w:val="000000"/>
              </w:rPr>
              <w:t>Record authorization outcomes, time from the treatment decision to initiation, cost burden, access-related discontinuation, and referral completion.</w:t>
            </w:r>
          </w:p>
        </w:tc>
        <w:tc>
          <w:tcPr>
            <w:tcW w:w="2389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0517FAD" w14:textId="77777777" w:rsidR="0096029A" w:rsidRDefault="0096029A" w:rsidP="002150A6">
            <w:r>
              <w:rPr>
                <w:color w:val="000000"/>
              </w:rPr>
              <w:t xml:space="preserve">Use all patients offered treatment as the access denominator, not only successful initiators. Distinguish </w:t>
            </w:r>
            <w:proofErr w:type="spellStart"/>
            <w:r>
              <w:rPr>
                <w:color w:val="000000"/>
              </w:rPr>
              <w:t>noninitiation</w:t>
            </w:r>
            <w:proofErr w:type="spellEnd"/>
            <w:r>
              <w:rPr>
                <w:color w:val="000000"/>
              </w:rPr>
              <w:t xml:space="preserve"> from discontinuation. Stratify by relevant access factors when feasible while protecting privacy in small groups.</w:t>
            </w:r>
          </w:p>
        </w:tc>
      </w:tr>
      <w:tr w:rsidR="0096029A" w14:paraId="17B28C6C" w14:textId="77777777" w:rsidTr="0096029A">
        <w:trPr>
          <w:cantSplit/>
          <w:jc w:val="center"/>
        </w:trPr>
        <w:tc>
          <w:tcPr>
            <w:tcW w:w="778" w:type="pct"/>
            <w:shd w:val="clear" w:color="auto" w:fill="F4F5F6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0E02A79" w14:textId="77777777" w:rsidR="0096029A" w:rsidRDefault="0096029A" w:rsidP="002150A6">
            <w:r>
              <w:rPr>
                <w:b/>
                <w:color w:val="000000"/>
              </w:rPr>
              <w:t>Coordination and continuity</w:t>
            </w:r>
          </w:p>
        </w:tc>
        <w:tc>
          <w:tcPr>
            <w:tcW w:w="1833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2CA19E9" w14:textId="77777777" w:rsidR="0096029A" w:rsidRDefault="0096029A" w:rsidP="002150A6">
            <w:r>
              <w:rPr>
                <w:color w:val="000000"/>
              </w:rPr>
              <w:t>Record a named prescriber, communicated medication plan, accepted handoff, and identified duplicate prescriptions or conflicting titration instructions.</w:t>
            </w:r>
          </w:p>
        </w:tc>
        <w:tc>
          <w:tcPr>
            <w:tcW w:w="2389" w:type="pct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E50AABB" w14:textId="77777777" w:rsidR="0096029A" w:rsidRDefault="0096029A" w:rsidP="002150A6">
            <w:r>
              <w:rPr>
                <w:color w:val="000000"/>
              </w:rPr>
              <w:t>At initiation and care transitions, specify the audited denominator. These are proposed process measures, not accreditation thresholds. Raw comparisons across care models require attention to baseline complexity and access differences.</w:t>
            </w:r>
          </w:p>
        </w:tc>
      </w:tr>
    </w:tbl>
    <w:p w14:paraId="032717DF" w14:textId="0DCB7020" w:rsidR="00520D0C" w:rsidRDefault="00520D0C" w:rsidP="0096029A">
      <w:r>
        <w:t>All indicators, timing windows, and service-level definitions below are author-proposed options for local evaluation, not validated GI program standards. Prespecify ascertainment and missing-data handling. Six- and 12-month denominators must allow sufficient calendar time for follow-up; ongoing recruitment must not make recent initiators appear to have failed longer-term follow-up.</w:t>
      </w:r>
    </w:p>
    <w:p w14:paraId="37C1D677" w14:textId="5F3158C3" w:rsidR="0096029A" w:rsidRDefault="0096029A" w:rsidP="0096029A">
      <w:r>
        <w:t>DXA, dual-energy X-ray absorptiometry; FIB-4, fibrosis-4 index; GI, gastroenterology. A small practice can select a feasible minimum reporting set; inability to maintain a comprehensive registry does not alone preclude safe care.</w:t>
      </w:r>
    </w:p>
    <w:p w14:paraId="799E9518" w14:textId="77777777" w:rsidR="009E48E0" w:rsidRDefault="009E48E0"/>
    <w:sectPr w:rsidR="009E48E0" w:rsidSect="0096029A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9A"/>
    <w:rsid w:val="00001DE0"/>
    <w:rsid w:val="00164869"/>
    <w:rsid w:val="004947C7"/>
    <w:rsid w:val="00520D0C"/>
    <w:rsid w:val="00531D51"/>
    <w:rsid w:val="008A4D24"/>
    <w:rsid w:val="00922E90"/>
    <w:rsid w:val="0096029A"/>
    <w:rsid w:val="009E48E0"/>
    <w:rsid w:val="00A6288E"/>
    <w:rsid w:val="00CC3949"/>
    <w:rsid w:val="00D673D8"/>
    <w:rsid w:val="00D976D7"/>
    <w:rsid w:val="00DC3868"/>
    <w:rsid w:val="00E74A70"/>
    <w:rsid w:val="00EA3C95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953CF"/>
  <w15:chartTrackingRefBased/>
  <w15:docId w15:val="{5CDE48A9-4B8A-4F79-8EBD-D670AF3B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29A"/>
    <w:pPr>
      <w:widowControl/>
      <w:spacing w:line="48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 w:line="240" w:lineRule="auto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 w:line="240" w:lineRule="auto"/>
      <w:jc w:val="both"/>
      <w:outlineLvl w:val="4"/>
    </w:pPr>
    <w:rPr>
      <w:rFonts w:eastAsiaTheme="majorEastAsia" w:cstheme="majorBidi"/>
      <w:color w:val="0F4761" w:themeColor="accent1" w:themeShade="BF"/>
      <w:kern w:val="2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 w:line="240" w:lineRule="auto"/>
      <w:jc w:val="both"/>
      <w:outlineLvl w:val="6"/>
    </w:pPr>
    <w:rPr>
      <w:rFonts w:eastAsiaTheme="majorEastAsia" w:cstheme="majorBidi"/>
      <w:color w:val="595959" w:themeColor="text1" w:themeTint="A6"/>
      <w:kern w:val="2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spacing w:line="240" w:lineRule="auto"/>
      <w:jc w:val="both"/>
      <w:outlineLvl w:val="7"/>
    </w:pPr>
    <w:rPr>
      <w:rFonts w:eastAsiaTheme="majorEastAsia" w:cstheme="majorBidi"/>
      <w:i/>
      <w:iCs/>
      <w:color w:val="262626" w:themeColor="text1" w:themeTint="D9"/>
      <w:kern w:val="2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spacing w:line="240" w:lineRule="auto"/>
      <w:jc w:val="both"/>
      <w:outlineLvl w:val="8"/>
    </w:pPr>
    <w:rPr>
      <w:rFonts w:eastAsiaTheme="majorEastAsia" w:cstheme="majorBidi"/>
      <w:color w:val="262626" w:themeColor="text1" w:themeTint="D9"/>
      <w:kern w:val="2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spacing w:line="240" w:lineRule="auto"/>
      <w:jc w:val="both"/>
    </w:pPr>
    <w:rPr>
      <w:rFonts w:eastAsia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spacing w:line="240" w:lineRule="auto"/>
      <w:jc w:val="both"/>
    </w:pPr>
    <w:rPr>
      <w:rFonts w:eastAsia="Times New Roman" w:cs="Times New Roman"/>
      <w:kern w:val="2"/>
      <w:szCs w:val="24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spacing w:line="240" w:lineRule="auto"/>
      <w:jc w:val="both"/>
    </w:pPr>
    <w:rPr>
      <w:rFonts w:eastAsia="Times New Roman" w:cs="Times New Roman"/>
      <w:kern w:val="2"/>
      <w:szCs w:val="24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spacing w:line="240" w:lineRule="auto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 w:line="240" w:lineRule="auto"/>
      <w:jc w:val="both"/>
    </w:pPr>
    <w:rPr>
      <w:rFonts w:eastAsia="Times New Roman" w:cs="Times New Roman"/>
      <w:kern w:val="2"/>
      <w:szCs w:val="24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spacing w:line="240" w:lineRule="auto"/>
      <w:ind w:left="720"/>
      <w:contextualSpacing/>
      <w:jc w:val="both"/>
    </w:pPr>
    <w:rPr>
      <w:rFonts w:eastAsia="Times New Roman" w:cs="Times New Roman"/>
      <w:kern w:val="2"/>
      <w:szCs w:val="24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 w:line="240" w:lineRule="auto"/>
      <w:jc w:val="center"/>
    </w:pPr>
    <w:rPr>
      <w:rFonts w:eastAsia="Times New Roman" w:cs="Times New Roman"/>
      <w:i/>
      <w:iCs/>
      <w:color w:val="404040" w:themeColor="text1" w:themeTint="BF"/>
      <w:kern w:val="2"/>
      <w:szCs w:val="24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="Times New Roman" w:cs="Times New Roman"/>
      <w:i/>
      <w:iCs/>
      <w:color w:val="0F4761" w:themeColor="accent1" w:themeShade="BF"/>
      <w:kern w:val="2"/>
      <w:szCs w:val="24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96029A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9602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3</cp:revision>
  <dcterms:created xsi:type="dcterms:W3CDTF">2026-10-04T11:44:00Z</dcterms:created>
  <dcterms:modified xsi:type="dcterms:W3CDTF">2026-10-04T11:46:00Z</dcterms:modified>
</cp:coreProperties>
</file>