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4F77B" w14:textId="74E6157D" w:rsidR="008E7864" w:rsidRDefault="00000000">
      <w:pPr>
        <w:spacing w:after="80"/>
      </w:pPr>
      <w:r>
        <w:rPr>
          <w:b/>
          <w:bCs/>
          <w:sz w:val="26"/>
          <w:szCs w:val="26"/>
          <w:highlight w:val="yellow"/>
        </w:rPr>
        <w:t>Suppl</w:t>
      </w:r>
      <w:r w:rsidR="005D481B">
        <w:rPr>
          <w:rFonts w:hint="eastAsia"/>
          <w:b/>
          <w:bCs/>
          <w:sz w:val="26"/>
          <w:szCs w:val="26"/>
          <w:highlight w:val="yellow"/>
          <w:lang w:eastAsia="zh-CN"/>
        </w:rPr>
        <w:t>4</w:t>
      </w:r>
      <w:r>
        <w:rPr>
          <w:b/>
          <w:bCs/>
          <w:sz w:val="26"/>
          <w:szCs w:val="26"/>
          <w:highlight w:val="yellow"/>
        </w:rPr>
        <w:t>. Study-level safety and adverse-event data for all included trials</w:t>
      </w:r>
    </w:p>
    <w:p w14:paraId="16F6F9B6" w14:textId="77777777" w:rsidR="008E7864" w:rsidRDefault="00000000">
      <w:pPr>
        <w:spacing w:after="80"/>
      </w:pPr>
      <w:r>
        <w:rPr>
          <w:i/>
          <w:iCs/>
          <w:sz w:val="20"/>
          <w:szCs w:val="20"/>
          <w:highlight w:val="yellow"/>
        </w:rPr>
        <w:t>No quantitative synthesis of safety outcomes was performed because adverse events were reported too sparsely and too heterogeneously across trials to support meta-analysis (Section 3.6).</w:t>
      </w:r>
    </w:p>
    <w:tbl>
      <w:tblPr>
        <w:tblStyle w:val="TableGrid"/>
        <w:tblW w:w="12960" w:type="dxa"/>
        <w:tblLook w:val="04A0" w:firstRow="1" w:lastRow="0" w:firstColumn="1" w:lastColumn="0" w:noHBand="0" w:noVBand="1"/>
      </w:tblPr>
      <w:tblGrid>
        <w:gridCol w:w="1500"/>
        <w:gridCol w:w="2500"/>
        <w:gridCol w:w="2100"/>
        <w:gridCol w:w="2100"/>
        <w:gridCol w:w="1500"/>
        <w:gridCol w:w="3260"/>
      </w:tblGrid>
      <w:tr w:rsidR="008E7864" w14:paraId="46445479" w14:textId="77777777" w:rsidTr="00287980">
        <w:tc>
          <w:tcPr>
            <w:tcW w:w="1500" w:type="dxa"/>
          </w:tcPr>
          <w:p w14:paraId="1BD66E4C" w14:textId="77777777" w:rsidR="008E7864" w:rsidRDefault="00000000">
            <w:r>
              <w:rPr>
                <w:b/>
                <w:bCs/>
                <w:sz w:val="15"/>
                <w:szCs w:val="15"/>
              </w:rPr>
              <w:t>Study</w:t>
            </w:r>
          </w:p>
        </w:tc>
        <w:tc>
          <w:tcPr>
            <w:tcW w:w="2500" w:type="dxa"/>
          </w:tcPr>
          <w:p w14:paraId="0C520F69" w14:textId="77777777" w:rsidR="008E7864" w:rsidRDefault="00000000">
            <w:r>
              <w:rPr>
                <w:b/>
                <w:bCs/>
                <w:sz w:val="15"/>
                <w:szCs w:val="15"/>
              </w:rPr>
              <w:t>Adverse events prespecified?</w:t>
            </w:r>
          </w:p>
        </w:tc>
        <w:tc>
          <w:tcPr>
            <w:tcW w:w="2100" w:type="dxa"/>
          </w:tcPr>
          <w:p w14:paraId="4325F2A8" w14:textId="77777777" w:rsidR="008E7864" w:rsidRDefault="00000000">
            <w:r>
              <w:rPr>
                <w:b/>
                <w:bCs/>
                <w:sz w:val="15"/>
                <w:szCs w:val="15"/>
              </w:rPr>
              <w:t>Procedure-related serious adverse events, CADe arm</w:t>
            </w:r>
          </w:p>
        </w:tc>
        <w:tc>
          <w:tcPr>
            <w:tcW w:w="2100" w:type="dxa"/>
          </w:tcPr>
          <w:p w14:paraId="21DAE3C3" w14:textId="77777777" w:rsidR="008E7864" w:rsidRDefault="00000000">
            <w:r>
              <w:rPr>
                <w:b/>
                <w:bCs/>
                <w:sz w:val="15"/>
                <w:szCs w:val="15"/>
              </w:rPr>
              <w:t>Procedure-related serious adverse events, control arm</w:t>
            </w:r>
          </w:p>
        </w:tc>
        <w:tc>
          <w:tcPr>
            <w:tcW w:w="1500" w:type="dxa"/>
          </w:tcPr>
          <w:p w14:paraId="65606350" w14:textId="77777777" w:rsidR="008E7864" w:rsidRDefault="00000000">
            <w:r>
              <w:rPr>
                <w:b/>
                <w:bCs/>
                <w:sz w:val="15"/>
                <w:szCs w:val="15"/>
              </w:rPr>
              <w:t>Between-arm difference</w:t>
            </w:r>
          </w:p>
        </w:tc>
        <w:tc>
          <w:tcPr>
            <w:tcW w:w="3260" w:type="dxa"/>
          </w:tcPr>
          <w:p w14:paraId="3DCEEC19" w14:textId="77777777" w:rsidR="008E7864" w:rsidRDefault="00000000">
            <w:r>
              <w:rPr>
                <w:b/>
                <w:bCs/>
                <w:sz w:val="15"/>
                <w:szCs w:val="15"/>
              </w:rPr>
              <w:t>Other safety-relevant findings</w:t>
            </w:r>
          </w:p>
        </w:tc>
      </w:tr>
      <w:tr w:rsidR="008E7864" w14:paraId="3361EB3A" w14:textId="77777777" w:rsidTr="00287980">
        <w:tc>
          <w:tcPr>
            <w:tcW w:w="1500" w:type="dxa"/>
          </w:tcPr>
          <w:p w14:paraId="4669742F" w14:textId="77777777" w:rsidR="008E7864" w:rsidRDefault="00000000">
            <w:r>
              <w:rPr>
                <w:sz w:val="15"/>
                <w:szCs w:val="15"/>
              </w:rPr>
              <w:t>Repici 2022 (AID-2) [20]</w:t>
            </w:r>
          </w:p>
        </w:tc>
        <w:tc>
          <w:tcPr>
            <w:tcW w:w="2500" w:type="dxa"/>
          </w:tcPr>
          <w:p w14:paraId="569AFAD3" w14:textId="77777777" w:rsidR="008E7864" w:rsidRDefault="00000000">
            <w:r>
              <w:rPr>
                <w:sz w:val="15"/>
                <w:szCs w:val="15"/>
              </w:rPr>
              <w:t>No - adenoma detection rate was the sole prespecified outcome measure in the trial registration (NCT04260321), and no safety outcome was registered</w:t>
            </w:r>
          </w:p>
        </w:tc>
        <w:tc>
          <w:tcPr>
            <w:tcW w:w="2100" w:type="dxa"/>
          </w:tcPr>
          <w:p w14:paraId="129562FF" w14:textId="77777777" w:rsidR="008E7864" w:rsidRDefault="00000000">
            <w:r>
              <w:rPr>
                <w:sz w:val="15"/>
                <w:szCs w:val="15"/>
              </w:rPr>
              <w:t>Not reported</w:t>
            </w:r>
          </w:p>
        </w:tc>
        <w:tc>
          <w:tcPr>
            <w:tcW w:w="2100" w:type="dxa"/>
          </w:tcPr>
          <w:p w14:paraId="08038B29" w14:textId="77777777" w:rsidR="008E7864" w:rsidRDefault="00000000">
            <w:r>
              <w:rPr>
                <w:sz w:val="15"/>
                <w:szCs w:val="15"/>
              </w:rPr>
              <w:t>Not reported</w:t>
            </w:r>
          </w:p>
        </w:tc>
        <w:tc>
          <w:tcPr>
            <w:tcW w:w="1500" w:type="dxa"/>
          </w:tcPr>
          <w:p w14:paraId="0AFE520E" w14:textId="77777777" w:rsidR="008E7864" w:rsidRDefault="00000000">
            <w:r>
              <w:rPr>
                <w:sz w:val="15"/>
                <w:szCs w:val="15"/>
              </w:rPr>
              <w:t>Not assessed</w:t>
            </w:r>
          </w:p>
        </w:tc>
        <w:tc>
          <w:tcPr>
            <w:tcW w:w="3260" w:type="dxa"/>
          </w:tcPr>
          <w:p w14:paraId="599E925D" w14:textId="77777777" w:rsidR="008E7864" w:rsidRDefault="00000000">
            <w:r>
              <w:rPr>
                <w:sz w:val="15"/>
                <w:szCs w:val="15"/>
              </w:rPr>
              <w:t>No between-arm difference in the detection of non-neoplastic lesions</w:t>
            </w:r>
          </w:p>
        </w:tc>
      </w:tr>
      <w:tr w:rsidR="008E7864" w14:paraId="0D8EB050" w14:textId="77777777" w:rsidTr="00287980">
        <w:tc>
          <w:tcPr>
            <w:tcW w:w="1500" w:type="dxa"/>
          </w:tcPr>
          <w:p w14:paraId="4E89EA0F" w14:textId="77777777" w:rsidR="008E7864" w:rsidRDefault="00000000">
            <w:r>
              <w:rPr>
                <w:sz w:val="15"/>
                <w:szCs w:val="15"/>
              </w:rPr>
              <w:t>Lau 2024 [21]</w:t>
            </w:r>
          </w:p>
        </w:tc>
        <w:tc>
          <w:tcPr>
            <w:tcW w:w="2500" w:type="dxa"/>
          </w:tcPr>
          <w:p w14:paraId="1BE5210F" w14:textId="77777777" w:rsidR="008E7864" w:rsidRDefault="00000000">
            <w:r>
              <w:rPr>
                <w:sz w:val="15"/>
                <w:szCs w:val="15"/>
              </w:rPr>
              <w:t>Yes - procedure-related adverse events recorded prospectively</w:t>
            </w:r>
          </w:p>
        </w:tc>
        <w:tc>
          <w:tcPr>
            <w:tcW w:w="2100" w:type="dxa"/>
          </w:tcPr>
          <w:p w14:paraId="40320D99" w14:textId="77777777" w:rsidR="008E7864" w:rsidRDefault="00000000">
            <w:r>
              <w:rPr>
                <w:sz w:val="15"/>
                <w:szCs w:val="15"/>
              </w:rPr>
              <w:t>1 (post-polypectomy coagulation syndrome)</w:t>
            </w:r>
          </w:p>
        </w:tc>
        <w:tc>
          <w:tcPr>
            <w:tcW w:w="2100" w:type="dxa"/>
          </w:tcPr>
          <w:p w14:paraId="5B40758E" w14:textId="77777777" w:rsidR="008E7864" w:rsidRDefault="00000000">
            <w:r>
              <w:rPr>
                <w:sz w:val="15"/>
                <w:szCs w:val="15"/>
              </w:rPr>
              <w:t>2 (delayed post-polypectomy bleeding)</w:t>
            </w:r>
          </w:p>
        </w:tc>
        <w:tc>
          <w:tcPr>
            <w:tcW w:w="1500" w:type="dxa"/>
          </w:tcPr>
          <w:p w14:paraId="52EAB3A8" w14:textId="77777777" w:rsidR="008E7864" w:rsidRDefault="00000000">
            <w:r>
              <w:rPr>
                <w:sz w:val="15"/>
                <w:szCs w:val="15"/>
              </w:rPr>
              <w:t>Not statistically tested; 3 events in total across 766 patients</w:t>
            </w:r>
          </w:p>
        </w:tc>
        <w:tc>
          <w:tcPr>
            <w:tcW w:w="3260" w:type="dxa"/>
          </w:tcPr>
          <w:p w14:paraId="10FB2387" w14:textId="77777777" w:rsidR="008E7864" w:rsidRDefault="00000000">
            <w:r>
              <w:rPr>
                <w:sz w:val="15"/>
                <w:szCs w:val="15"/>
              </w:rPr>
              <w:t>False-positive signal rate 23.8% in the CADe arm (mean 1.1 per colonoscopy; wrinkled mucosa 18.9%, stool debris 7.0%, air bubbles 6.5%). Non-neoplastic resection rate 52.1% vs 35.0% (adjusted RR 1.70, 95% CI 1.37-2.11; P &lt; 0.001)</w:t>
            </w:r>
          </w:p>
        </w:tc>
      </w:tr>
      <w:tr w:rsidR="008E7864" w14:paraId="4409113E" w14:textId="77777777" w:rsidTr="00287980">
        <w:tc>
          <w:tcPr>
            <w:tcW w:w="1500" w:type="dxa"/>
          </w:tcPr>
          <w:p w14:paraId="360E9E5E" w14:textId="77777777" w:rsidR="008E7864" w:rsidRDefault="00000000">
            <w:r>
              <w:rPr>
                <w:sz w:val="15"/>
                <w:szCs w:val="15"/>
              </w:rPr>
              <w:t>Yamaguchi 2024 [23]</w:t>
            </w:r>
          </w:p>
        </w:tc>
        <w:tc>
          <w:tcPr>
            <w:tcW w:w="2500" w:type="dxa"/>
          </w:tcPr>
          <w:p w14:paraId="69DE438E" w14:textId="77777777" w:rsidR="008E7864" w:rsidRDefault="00000000">
            <w:r>
              <w:rPr>
                <w:sz w:val="15"/>
                <w:szCs w:val="15"/>
              </w:rPr>
              <w:t>Partly - perioperative severe adverse events (perforation, bleeding, diverticulitis, cardiovascular events, severe abdominal pain, death) are listed among the variables recorded, but are not among the study outcomes and no event counts are reported</w:t>
            </w:r>
          </w:p>
        </w:tc>
        <w:tc>
          <w:tcPr>
            <w:tcW w:w="2100" w:type="dxa"/>
          </w:tcPr>
          <w:p w14:paraId="0ED27C66" w14:textId="77777777" w:rsidR="008E7864" w:rsidRDefault="00000000">
            <w:r>
              <w:rPr>
                <w:sz w:val="15"/>
                <w:szCs w:val="15"/>
              </w:rPr>
              <w:t>Not reported</w:t>
            </w:r>
          </w:p>
        </w:tc>
        <w:tc>
          <w:tcPr>
            <w:tcW w:w="2100" w:type="dxa"/>
          </w:tcPr>
          <w:p w14:paraId="3BFB186A" w14:textId="77777777" w:rsidR="008E7864" w:rsidRDefault="00000000">
            <w:r>
              <w:rPr>
                <w:sz w:val="15"/>
                <w:szCs w:val="15"/>
              </w:rPr>
              <w:t>Not reported</w:t>
            </w:r>
          </w:p>
        </w:tc>
        <w:tc>
          <w:tcPr>
            <w:tcW w:w="1500" w:type="dxa"/>
          </w:tcPr>
          <w:p w14:paraId="2AE47FAA" w14:textId="77777777" w:rsidR="008E7864" w:rsidRDefault="00000000">
            <w:r>
              <w:rPr>
                <w:sz w:val="15"/>
                <w:szCs w:val="15"/>
              </w:rPr>
              <w:t>Not assessed</w:t>
            </w:r>
          </w:p>
        </w:tc>
        <w:tc>
          <w:tcPr>
            <w:tcW w:w="3260" w:type="dxa"/>
          </w:tcPr>
          <w:p w14:paraId="1B02587A" w14:textId="77777777" w:rsidR="008E7864" w:rsidRDefault="00000000">
            <w:r>
              <w:rPr>
                <w:sz w:val="15"/>
                <w:szCs w:val="15"/>
              </w:rPr>
              <w:t>Mean withdrawal time 13.06 ± 3.23 vs 13.05 ± 4.01 min (P = 0.977)</w:t>
            </w:r>
          </w:p>
        </w:tc>
      </w:tr>
      <w:tr w:rsidR="008E7864" w14:paraId="7EFB77C9" w14:textId="77777777" w:rsidTr="00287980">
        <w:tc>
          <w:tcPr>
            <w:tcW w:w="1500" w:type="dxa"/>
          </w:tcPr>
          <w:p w14:paraId="2AE757F5" w14:textId="77777777" w:rsidR="008E7864" w:rsidRDefault="00000000">
            <w:r>
              <w:rPr>
                <w:sz w:val="15"/>
                <w:szCs w:val="15"/>
              </w:rPr>
              <w:t>Yao 2024 [24]</w:t>
            </w:r>
          </w:p>
        </w:tc>
        <w:tc>
          <w:tcPr>
            <w:tcW w:w="2500" w:type="dxa"/>
          </w:tcPr>
          <w:p w14:paraId="08262314" w14:textId="50AE8C03" w:rsidR="008E7864" w:rsidRDefault="00000000">
            <w:r>
              <w:rPr>
                <w:sz w:val="15"/>
                <w:szCs w:val="15"/>
              </w:rPr>
              <w:t xml:space="preserve">Partly - safety of the tandem procedure is stated as a study aim, but no adverse-event outcome is listed among the primary or secondary </w:t>
            </w:r>
            <w:r w:rsidR="00287980">
              <w:rPr>
                <w:sz w:val="15"/>
                <w:szCs w:val="15"/>
              </w:rPr>
              <w:t>outcomes,</w:t>
            </w:r>
            <w:r>
              <w:rPr>
                <w:sz w:val="15"/>
                <w:szCs w:val="15"/>
              </w:rPr>
              <w:t xml:space="preserve"> and no event counts are reported</w:t>
            </w:r>
          </w:p>
        </w:tc>
        <w:tc>
          <w:tcPr>
            <w:tcW w:w="2100" w:type="dxa"/>
          </w:tcPr>
          <w:p w14:paraId="3A1C7E46" w14:textId="77777777" w:rsidR="008E7864" w:rsidRDefault="00000000">
            <w:r>
              <w:rPr>
                <w:sz w:val="15"/>
                <w:szCs w:val="15"/>
              </w:rPr>
              <w:t>Not reported</w:t>
            </w:r>
          </w:p>
        </w:tc>
        <w:tc>
          <w:tcPr>
            <w:tcW w:w="2100" w:type="dxa"/>
          </w:tcPr>
          <w:p w14:paraId="72250C42" w14:textId="77777777" w:rsidR="008E7864" w:rsidRDefault="00000000">
            <w:r>
              <w:rPr>
                <w:sz w:val="15"/>
                <w:szCs w:val="15"/>
              </w:rPr>
              <w:t>Not reported</w:t>
            </w:r>
          </w:p>
        </w:tc>
        <w:tc>
          <w:tcPr>
            <w:tcW w:w="1500" w:type="dxa"/>
          </w:tcPr>
          <w:p w14:paraId="12542F19" w14:textId="77777777" w:rsidR="008E7864" w:rsidRDefault="00000000">
            <w:r>
              <w:rPr>
                <w:sz w:val="15"/>
                <w:szCs w:val="15"/>
              </w:rPr>
              <w:t>Not assessed</w:t>
            </w:r>
          </w:p>
        </w:tc>
        <w:tc>
          <w:tcPr>
            <w:tcW w:w="3260" w:type="dxa"/>
          </w:tcPr>
          <w:p w14:paraId="429F93F2" w14:textId="77777777" w:rsidR="008E7864" w:rsidRDefault="00000000">
            <w:r>
              <w:rPr>
                <w:sz w:val="15"/>
                <w:szCs w:val="15"/>
              </w:rPr>
              <w:t>A tandem design with an expert second pass was adopted specifically to protect patients from lesions missed during novice-performed withdrawal</w:t>
            </w:r>
          </w:p>
        </w:tc>
      </w:tr>
      <w:tr w:rsidR="008E7864" w14:paraId="3AD81E73" w14:textId="77777777" w:rsidTr="00287980">
        <w:tc>
          <w:tcPr>
            <w:tcW w:w="1500" w:type="dxa"/>
          </w:tcPr>
          <w:p w14:paraId="102F6829" w14:textId="77777777" w:rsidR="008E7864" w:rsidRDefault="00000000">
            <w:r>
              <w:rPr>
                <w:sz w:val="15"/>
                <w:szCs w:val="15"/>
              </w:rPr>
              <w:t>Chang 2026 [22]</w:t>
            </w:r>
          </w:p>
        </w:tc>
        <w:tc>
          <w:tcPr>
            <w:tcW w:w="2500" w:type="dxa"/>
          </w:tcPr>
          <w:p w14:paraId="05BBB667" w14:textId="77777777" w:rsidR="008E7864" w:rsidRDefault="00000000">
            <w:r>
              <w:rPr>
                <w:sz w:val="15"/>
                <w:szCs w:val="15"/>
              </w:rPr>
              <w:t>No - the outcomes were adenoma and polyp detection rates, procedure time and withdrawal time (NCT05423964); no safety or adverse-event outcome was specified, and none is reported</w:t>
            </w:r>
          </w:p>
        </w:tc>
        <w:tc>
          <w:tcPr>
            <w:tcW w:w="2100" w:type="dxa"/>
          </w:tcPr>
          <w:p w14:paraId="0D51482A" w14:textId="77777777" w:rsidR="008E7864" w:rsidRDefault="00000000">
            <w:r>
              <w:rPr>
                <w:sz w:val="15"/>
                <w:szCs w:val="15"/>
              </w:rPr>
              <w:t>Not reported</w:t>
            </w:r>
          </w:p>
        </w:tc>
        <w:tc>
          <w:tcPr>
            <w:tcW w:w="2100" w:type="dxa"/>
          </w:tcPr>
          <w:p w14:paraId="024A3653" w14:textId="77777777" w:rsidR="008E7864" w:rsidRDefault="00000000">
            <w:r>
              <w:rPr>
                <w:sz w:val="15"/>
                <w:szCs w:val="15"/>
              </w:rPr>
              <w:t>Not reported</w:t>
            </w:r>
          </w:p>
        </w:tc>
        <w:tc>
          <w:tcPr>
            <w:tcW w:w="1500" w:type="dxa"/>
          </w:tcPr>
          <w:p w14:paraId="7412B111" w14:textId="77777777" w:rsidR="008E7864" w:rsidRDefault="00000000">
            <w:r>
              <w:rPr>
                <w:sz w:val="15"/>
                <w:szCs w:val="15"/>
              </w:rPr>
              <w:t>Not assessed</w:t>
            </w:r>
          </w:p>
        </w:tc>
        <w:tc>
          <w:tcPr>
            <w:tcW w:w="3260" w:type="dxa"/>
          </w:tcPr>
          <w:p w14:paraId="0C1FCBBF" w14:textId="77777777" w:rsidR="008E7864" w:rsidRDefault="00000000">
            <w:r>
              <w:rPr>
                <w:sz w:val="15"/>
                <w:szCs w:val="15"/>
              </w:rPr>
              <w:t>No difference in total procedure time (32.8 ± 1.3 vs 32.6 ± 1.6 min) or withdrawal time (22.7 ± 1.0 vs 23.8 ± 2.6 min)</w:t>
            </w:r>
          </w:p>
        </w:tc>
      </w:tr>
    </w:tbl>
    <w:p w14:paraId="1015073C" w14:textId="77777777" w:rsidR="008E7864" w:rsidRDefault="00000000">
      <w:pPr>
        <w:spacing w:after="80"/>
      </w:pPr>
      <w:r>
        <w:rPr>
          <w:sz w:val="16"/>
          <w:szCs w:val="16"/>
          <w:highlight w:val="yellow"/>
        </w:rPr>
        <w:t>AID-2, Artificial Intelligence Detection 2 trial; CADe, computer-aided detection; CI, confidence interval; RR, risk ratio. Entries are taken from the primary publication of each trial and, where a trial registration was available, from the registered outcome measures. "Not reported" indicates that the item is absent from the primary publication; it does not mean that no event occurred. Lau 2024 is the only trial to report adverse-event counts, and it reported no statistically significant excess in the CADe arm; the remaining four trials report no adverse-event data, so a between-arm safety comparison could not be made for them. This sparse and non-uniform reporting is the reason no quantitative synthesis of safety outcomes was undertaken, and it is stated as a limitation of the evidence base (Sections 3.6 and 4.7).</w:t>
      </w:r>
    </w:p>
    <w:sectPr w:rsidR="008E7864">
      <w:pgSz w:w="15840" w:h="12240" w:orient="landscape"/>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DengXian">
    <w:altName w:val="µÈÏß"/>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0B3FC2"/>
    <w:multiLevelType w:val="hybridMultilevel"/>
    <w:tmpl w:val="65480FFA"/>
    <w:lvl w:ilvl="0" w:tplc="28BE7632">
      <w:start w:val="1"/>
      <w:numFmt w:val="bullet"/>
      <w:lvlText w:val="●"/>
      <w:lvlJc w:val="left"/>
      <w:pPr>
        <w:ind w:left="720" w:hanging="360"/>
      </w:pPr>
    </w:lvl>
    <w:lvl w:ilvl="1" w:tplc="E274FCF0">
      <w:start w:val="1"/>
      <w:numFmt w:val="bullet"/>
      <w:lvlText w:val="○"/>
      <w:lvlJc w:val="left"/>
      <w:pPr>
        <w:ind w:left="1440" w:hanging="360"/>
      </w:pPr>
    </w:lvl>
    <w:lvl w:ilvl="2" w:tplc="3178285C">
      <w:start w:val="1"/>
      <w:numFmt w:val="bullet"/>
      <w:lvlText w:val="■"/>
      <w:lvlJc w:val="left"/>
      <w:pPr>
        <w:ind w:left="2160" w:hanging="360"/>
      </w:pPr>
    </w:lvl>
    <w:lvl w:ilvl="3" w:tplc="BC72F2BE">
      <w:start w:val="1"/>
      <w:numFmt w:val="bullet"/>
      <w:lvlText w:val="●"/>
      <w:lvlJc w:val="left"/>
      <w:pPr>
        <w:ind w:left="2880" w:hanging="360"/>
      </w:pPr>
    </w:lvl>
    <w:lvl w:ilvl="4" w:tplc="22B4A216">
      <w:start w:val="1"/>
      <w:numFmt w:val="bullet"/>
      <w:lvlText w:val="○"/>
      <w:lvlJc w:val="left"/>
      <w:pPr>
        <w:ind w:left="3600" w:hanging="360"/>
      </w:pPr>
    </w:lvl>
    <w:lvl w:ilvl="5" w:tplc="B4DAA00A">
      <w:start w:val="1"/>
      <w:numFmt w:val="bullet"/>
      <w:lvlText w:val="■"/>
      <w:lvlJc w:val="left"/>
      <w:pPr>
        <w:ind w:left="4320" w:hanging="360"/>
      </w:pPr>
    </w:lvl>
    <w:lvl w:ilvl="6" w:tplc="2F02DC52">
      <w:start w:val="1"/>
      <w:numFmt w:val="bullet"/>
      <w:lvlText w:val="●"/>
      <w:lvlJc w:val="left"/>
      <w:pPr>
        <w:ind w:left="5040" w:hanging="360"/>
      </w:pPr>
    </w:lvl>
    <w:lvl w:ilvl="7" w:tplc="DB6656EE">
      <w:start w:val="1"/>
      <w:numFmt w:val="bullet"/>
      <w:lvlText w:val="●"/>
      <w:lvlJc w:val="left"/>
      <w:pPr>
        <w:ind w:left="5760" w:hanging="360"/>
      </w:pPr>
    </w:lvl>
    <w:lvl w:ilvl="8" w:tplc="68F26BB4">
      <w:start w:val="1"/>
      <w:numFmt w:val="bullet"/>
      <w:lvlText w:val="●"/>
      <w:lvlJc w:val="left"/>
      <w:pPr>
        <w:ind w:left="6480" w:hanging="360"/>
      </w:pPr>
    </w:lvl>
  </w:abstractNum>
  <w:num w:numId="1" w16cid:durableId="12683433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864"/>
    <w:rsid w:val="00062B10"/>
    <w:rsid w:val="00287980"/>
    <w:rsid w:val="00341693"/>
    <w:rsid w:val="003C4686"/>
    <w:rsid w:val="003E5C79"/>
    <w:rsid w:val="00441977"/>
    <w:rsid w:val="004E708C"/>
    <w:rsid w:val="005D481B"/>
    <w:rsid w:val="008E7864"/>
    <w:rsid w:val="00AC37B9"/>
    <w:rsid w:val="00B73DB3"/>
    <w:rsid w:val="00FB52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6529D"/>
  <w15:docId w15:val="{A42AB64F-F88E-1F4E-805E-D5C39CF78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287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465</Words>
  <Characters>2656</Characters>
  <Application>Microsoft Office Word</Application>
  <DocSecurity>0</DocSecurity>
  <Lines>22</Lines>
  <Paragraphs>6</Paragraphs>
  <ScaleCrop>false</ScaleCrop>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Tables S1-S3</dc:title>
  <dc:creator>Hamza Altal</dc:creator>
  <cp:lastModifiedBy>Robin Wei</cp:lastModifiedBy>
  <cp:revision>4</cp:revision>
  <dcterms:created xsi:type="dcterms:W3CDTF">2026-09-02T17:56:00Z</dcterms:created>
  <dcterms:modified xsi:type="dcterms:W3CDTF">2026-09-24T10:22:00Z</dcterms:modified>
</cp:coreProperties>
</file>