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1C31" w14:textId="77777777" w:rsidR="008F3F29" w:rsidRDefault="00000000">
      <w:pPr>
        <w:spacing w:after="80"/>
      </w:pPr>
      <w:r>
        <w:rPr>
          <w:noProof/>
        </w:rPr>
        <w:drawing>
          <wp:inline distT="0" distB="0" distL="0" distR="0" wp14:anchorId="7C5E5CC7" wp14:editId="4B1A42FE">
            <wp:extent cx="6515100" cy="3339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515100" cy="3339960"/>
                    </a:xfrm>
                    <a:prstGeom prst="rect">
                      <a:avLst/>
                    </a:prstGeom>
                  </pic:spPr>
                </pic:pic>
              </a:graphicData>
            </a:graphic>
          </wp:inline>
        </w:drawing>
      </w:r>
    </w:p>
    <w:p w14:paraId="1A895CBE" w14:textId="386DEDAE" w:rsidR="008F3F29" w:rsidRDefault="00000000">
      <w:pPr>
        <w:spacing w:after="80"/>
      </w:pPr>
      <w:r w:rsidRPr="00076D6A">
        <w:rPr>
          <w:b/>
          <w:bCs/>
          <w:sz w:val="20"/>
          <w:szCs w:val="20"/>
          <w:highlight w:val="yellow"/>
        </w:rPr>
        <w:t>Suppl</w:t>
      </w:r>
      <w:r w:rsidR="00076D6A" w:rsidRPr="00076D6A">
        <w:rPr>
          <w:rFonts w:hint="eastAsia"/>
          <w:b/>
          <w:bCs/>
          <w:sz w:val="20"/>
          <w:szCs w:val="20"/>
          <w:highlight w:val="yellow"/>
          <w:lang w:eastAsia="zh-CN"/>
        </w:rPr>
        <w:t>5</w:t>
      </w:r>
      <w:r w:rsidRPr="00076D6A">
        <w:rPr>
          <w:b/>
          <w:bCs/>
          <w:sz w:val="20"/>
          <w:szCs w:val="20"/>
          <w:highlight w:val="yellow"/>
        </w:rPr>
        <w:t xml:space="preserve">. </w:t>
      </w:r>
      <w:r>
        <w:rPr>
          <w:sz w:val="20"/>
          <w:szCs w:val="20"/>
          <w:highlight w:val="yellow"/>
        </w:rPr>
        <w:t>Leave-one-out sensitivity analyses. (A) Overall adenoma detection rate. (B) Right-colon adenoma detection rate. (C) Polyp detection rate. (D) Advanced adenoma detection rate.</w:t>
      </w:r>
      <w:r>
        <w:rPr>
          <w:sz w:val="20"/>
          <w:szCs w:val="20"/>
        </w:rPr>
        <w:t xml:space="preserve"> Within each panel, every row shows the pooled risk ratio recalculated with the named trial omitted; the bottom row is the pooled estimate from all contributing trials. The shaded band and the vertical dashed line show the confidence interval and the point estimate of the full analysis. CI, confidence interval; I², I-squared statistic for heterogeneity; RR, risk ratio.</w:t>
      </w:r>
    </w:p>
    <w:sectPr w:rsidR="008F3F29">
      <w:pgSz w:w="15840" w:h="12240"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66046" w14:textId="77777777" w:rsidR="00DD2AA0" w:rsidRDefault="00DD2AA0" w:rsidP="00076D6A">
      <w:r>
        <w:separator/>
      </w:r>
    </w:p>
  </w:endnote>
  <w:endnote w:type="continuationSeparator" w:id="0">
    <w:p w14:paraId="52833459" w14:textId="77777777" w:rsidR="00DD2AA0" w:rsidRDefault="00DD2AA0" w:rsidP="00076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DengXian">
    <w:altName w:val="µÈÏß"/>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7B4B4" w14:textId="77777777" w:rsidR="00DD2AA0" w:rsidRDefault="00DD2AA0" w:rsidP="00076D6A">
      <w:r>
        <w:separator/>
      </w:r>
    </w:p>
  </w:footnote>
  <w:footnote w:type="continuationSeparator" w:id="0">
    <w:p w14:paraId="6BD479E4" w14:textId="77777777" w:rsidR="00DD2AA0" w:rsidRDefault="00DD2AA0" w:rsidP="00076D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600A"/>
    <w:multiLevelType w:val="hybridMultilevel"/>
    <w:tmpl w:val="60AE830C"/>
    <w:lvl w:ilvl="0" w:tplc="FEEAE71E">
      <w:start w:val="1"/>
      <w:numFmt w:val="bullet"/>
      <w:lvlText w:val="●"/>
      <w:lvlJc w:val="left"/>
      <w:pPr>
        <w:ind w:left="720" w:hanging="360"/>
      </w:pPr>
    </w:lvl>
    <w:lvl w:ilvl="1" w:tplc="17E6103A">
      <w:start w:val="1"/>
      <w:numFmt w:val="bullet"/>
      <w:lvlText w:val="○"/>
      <w:lvlJc w:val="left"/>
      <w:pPr>
        <w:ind w:left="1440" w:hanging="360"/>
      </w:pPr>
    </w:lvl>
    <w:lvl w:ilvl="2" w:tplc="BE48502A">
      <w:start w:val="1"/>
      <w:numFmt w:val="bullet"/>
      <w:lvlText w:val="■"/>
      <w:lvlJc w:val="left"/>
      <w:pPr>
        <w:ind w:left="2160" w:hanging="360"/>
      </w:pPr>
    </w:lvl>
    <w:lvl w:ilvl="3" w:tplc="D7E60AA8">
      <w:start w:val="1"/>
      <w:numFmt w:val="bullet"/>
      <w:lvlText w:val="●"/>
      <w:lvlJc w:val="left"/>
      <w:pPr>
        <w:ind w:left="2880" w:hanging="360"/>
      </w:pPr>
    </w:lvl>
    <w:lvl w:ilvl="4" w:tplc="2AD48E2E">
      <w:start w:val="1"/>
      <w:numFmt w:val="bullet"/>
      <w:lvlText w:val="○"/>
      <w:lvlJc w:val="left"/>
      <w:pPr>
        <w:ind w:left="3600" w:hanging="360"/>
      </w:pPr>
    </w:lvl>
    <w:lvl w:ilvl="5" w:tplc="F2EC09B4">
      <w:start w:val="1"/>
      <w:numFmt w:val="bullet"/>
      <w:lvlText w:val="■"/>
      <w:lvlJc w:val="left"/>
      <w:pPr>
        <w:ind w:left="4320" w:hanging="360"/>
      </w:pPr>
    </w:lvl>
    <w:lvl w:ilvl="6" w:tplc="B53E912E">
      <w:start w:val="1"/>
      <w:numFmt w:val="bullet"/>
      <w:lvlText w:val="●"/>
      <w:lvlJc w:val="left"/>
      <w:pPr>
        <w:ind w:left="5040" w:hanging="360"/>
      </w:pPr>
    </w:lvl>
    <w:lvl w:ilvl="7" w:tplc="298C4DE2">
      <w:start w:val="1"/>
      <w:numFmt w:val="bullet"/>
      <w:lvlText w:val="●"/>
      <w:lvlJc w:val="left"/>
      <w:pPr>
        <w:ind w:left="5760" w:hanging="360"/>
      </w:pPr>
    </w:lvl>
    <w:lvl w:ilvl="8" w:tplc="2C26399C">
      <w:start w:val="1"/>
      <w:numFmt w:val="bullet"/>
      <w:lvlText w:val="●"/>
      <w:lvlJc w:val="left"/>
      <w:pPr>
        <w:ind w:left="6480" w:hanging="360"/>
      </w:pPr>
    </w:lvl>
  </w:abstractNum>
  <w:num w:numId="1" w16cid:durableId="7678876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F29"/>
    <w:rsid w:val="00062B10"/>
    <w:rsid w:val="00076D6A"/>
    <w:rsid w:val="00341693"/>
    <w:rsid w:val="003E5C79"/>
    <w:rsid w:val="006D5497"/>
    <w:rsid w:val="008F3F29"/>
    <w:rsid w:val="00A500F3"/>
    <w:rsid w:val="00CC0184"/>
    <w:rsid w:val="00DD2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622C5"/>
  <w15:docId w15:val="{CF05CD80-F786-3E4D-B8FF-2FCA180A9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76D6A"/>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76D6A"/>
    <w:rPr>
      <w:sz w:val="18"/>
      <w:szCs w:val="18"/>
    </w:rPr>
  </w:style>
  <w:style w:type="paragraph" w:styleId="Footer">
    <w:name w:val="footer"/>
    <w:basedOn w:val="Normal"/>
    <w:link w:val="FooterChar"/>
    <w:uiPriority w:val="99"/>
    <w:unhideWhenUsed/>
    <w:rsid w:val="00076D6A"/>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076D6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82</Words>
  <Characters>474</Characters>
  <Application>Microsoft Office Word</Application>
  <DocSecurity>0</DocSecurity>
  <Lines>3</Lines>
  <Paragraphs>1</Paragraphs>
  <ScaleCrop>false</ScaleCrop>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Figures S1-S3</dc:title>
  <dc:creator>Hamza Altal</dc:creator>
  <cp:lastModifiedBy>Robin Wei</cp:lastModifiedBy>
  <cp:revision>4</cp:revision>
  <dcterms:created xsi:type="dcterms:W3CDTF">2026-09-02T17:56:00Z</dcterms:created>
  <dcterms:modified xsi:type="dcterms:W3CDTF">2026-09-24T10:23:00Z</dcterms:modified>
</cp:coreProperties>
</file>